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50" w:rsidRDefault="00F47E50" w:rsidP="00F47E50">
      <w:pPr>
        <w:autoSpaceDE w:val="0"/>
        <w:autoSpaceDN w:val="0"/>
        <w:spacing w:line="276" w:lineRule="auto"/>
        <w:ind w:left="851" w:hanging="851"/>
        <w:jc w:val="both"/>
        <w:rPr>
          <w:rFonts w:ascii="Arial" w:hAnsi="Arial" w:cs="Arial"/>
          <w:b/>
          <w:bCs/>
          <w:sz w:val="20"/>
          <w:szCs w:val="20"/>
          <w:lang w:val="en-GB"/>
        </w:rPr>
      </w:pPr>
    </w:p>
    <w:p w:rsidR="00F47E50" w:rsidRDefault="00F47E50" w:rsidP="00F47E50">
      <w:pPr>
        <w:autoSpaceDE w:val="0"/>
        <w:autoSpaceDN w:val="0"/>
        <w:spacing w:line="276" w:lineRule="auto"/>
        <w:ind w:left="851" w:hanging="851"/>
        <w:jc w:val="both"/>
        <w:rPr>
          <w:rFonts w:ascii="Arial" w:hAnsi="Arial" w:cs="Arial"/>
          <w:b/>
          <w:bCs/>
          <w:sz w:val="20"/>
          <w:szCs w:val="20"/>
          <w:lang w:val="en-GB"/>
        </w:rPr>
      </w:pPr>
    </w:p>
    <w:p w:rsidR="0081400D" w:rsidRPr="008E5895" w:rsidRDefault="0081400D" w:rsidP="0081400D">
      <w:pPr>
        <w:pStyle w:val="Default"/>
        <w:ind w:left="567" w:right="567"/>
        <w:jc w:val="center"/>
      </w:pPr>
      <w:r w:rsidRPr="008E5895">
        <w:rPr>
          <w:b/>
          <w:noProof/>
          <w:lang w:val="en-US"/>
        </w:rPr>
        <w:drawing>
          <wp:inline distT="0" distB="0" distL="0" distR="0" wp14:anchorId="762107D3" wp14:editId="6C36134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81400D" w:rsidRPr="008E5895" w:rsidRDefault="0081400D" w:rsidP="0081400D">
      <w:pPr>
        <w:pStyle w:val="Default"/>
        <w:ind w:left="567" w:right="567"/>
        <w:rPr>
          <w:b/>
          <w:bCs/>
        </w:rPr>
      </w:pPr>
    </w:p>
    <w:p w:rsidR="0081400D" w:rsidRPr="008E5895" w:rsidRDefault="0081400D" w:rsidP="0081400D">
      <w:pPr>
        <w:pStyle w:val="Default"/>
        <w:ind w:left="567" w:right="567"/>
        <w:rPr>
          <w:b/>
          <w:bCs/>
        </w:rPr>
      </w:pPr>
    </w:p>
    <w:p w:rsidR="0081400D" w:rsidRPr="008E5895" w:rsidRDefault="0081400D" w:rsidP="0081400D">
      <w:pPr>
        <w:ind w:left="567" w:right="567"/>
        <w:jc w:val="center"/>
        <w:rPr>
          <w:rFonts w:ascii="Arial" w:hAnsi="Arial" w:cs="Arial"/>
          <w:b/>
          <w:sz w:val="24"/>
          <w:szCs w:val="24"/>
        </w:rPr>
      </w:pPr>
    </w:p>
    <w:p w:rsidR="0081400D" w:rsidRPr="004D1A78" w:rsidRDefault="0081400D" w:rsidP="0081400D">
      <w:pPr>
        <w:ind w:left="567" w:right="567"/>
        <w:jc w:val="center"/>
        <w:rPr>
          <w:rFonts w:ascii="Arial" w:hAnsi="Arial" w:cs="Arial"/>
          <w:b/>
        </w:rPr>
      </w:pPr>
      <w:r>
        <w:rPr>
          <w:rFonts w:ascii="Arial" w:hAnsi="Arial" w:cs="Arial"/>
          <w:b/>
        </w:rPr>
        <w:t xml:space="preserve">TRIBUNAL </w:t>
      </w:r>
      <w:r w:rsidR="00ED1028">
        <w:rPr>
          <w:rFonts w:ascii="Arial" w:hAnsi="Arial" w:cs="Arial"/>
          <w:b/>
        </w:rPr>
        <w:t xml:space="preserve">HEARING OUTCOME </w:t>
      </w:r>
      <w:r>
        <w:rPr>
          <w:rFonts w:ascii="Arial" w:hAnsi="Arial" w:cs="Arial"/>
          <w:b/>
        </w:rPr>
        <w:t>FOR WEDNESDAY, 29</w:t>
      </w:r>
      <w:r w:rsidRPr="004D1A78">
        <w:rPr>
          <w:rFonts w:ascii="Arial" w:hAnsi="Arial" w:cs="Arial"/>
          <w:b/>
        </w:rPr>
        <w:t xml:space="preserve"> NOVEMBER, 2017</w:t>
      </w:r>
    </w:p>
    <w:p w:rsidR="0081400D" w:rsidRPr="004D1A78" w:rsidRDefault="0081400D" w:rsidP="0081400D">
      <w:pPr>
        <w:ind w:left="567" w:right="567"/>
        <w:jc w:val="center"/>
        <w:rPr>
          <w:rFonts w:ascii="Arial" w:hAnsi="Arial" w:cs="Arial"/>
          <w:b/>
        </w:rPr>
      </w:pPr>
    </w:p>
    <w:p w:rsidR="0081400D" w:rsidRPr="004D1A78" w:rsidRDefault="0081400D" w:rsidP="0081400D">
      <w:pPr>
        <w:ind w:left="567" w:right="567"/>
        <w:jc w:val="both"/>
        <w:rPr>
          <w:rFonts w:ascii="Arial" w:hAnsi="Arial" w:cs="Arial"/>
        </w:rPr>
      </w:pPr>
    </w:p>
    <w:tbl>
      <w:tblPr>
        <w:tblStyle w:val="TableGrid"/>
        <w:tblW w:w="8931" w:type="dxa"/>
        <w:tblInd w:w="-5"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861"/>
        <w:gridCol w:w="2108"/>
        <w:gridCol w:w="2552"/>
        <w:gridCol w:w="2410"/>
      </w:tblGrid>
      <w:tr w:rsidR="00ED1028" w:rsidRPr="004D1A78" w:rsidTr="00825CA6">
        <w:trPr>
          <w:trHeight w:val="972"/>
        </w:trPr>
        <w:tc>
          <w:tcPr>
            <w:tcW w:w="1861" w:type="dxa"/>
            <w:shd w:val="clear" w:color="auto" w:fill="996633"/>
          </w:tcPr>
          <w:p w:rsidR="00ED1028" w:rsidRPr="004D1A78" w:rsidRDefault="00ED1028" w:rsidP="00F2062E">
            <w:pPr>
              <w:ind w:right="567"/>
              <w:rPr>
                <w:rFonts w:ascii="Arial" w:hAnsi="Arial" w:cs="Arial"/>
                <w:color w:val="FFFFFF" w:themeColor="background1"/>
              </w:rPr>
            </w:pPr>
            <w:r w:rsidRPr="004D1A78">
              <w:rPr>
                <w:rFonts w:ascii="Arial" w:hAnsi="Arial" w:cs="Arial"/>
                <w:color w:val="FFFFFF" w:themeColor="background1"/>
              </w:rPr>
              <w:t>Type of matter</w:t>
            </w:r>
          </w:p>
        </w:tc>
        <w:tc>
          <w:tcPr>
            <w:tcW w:w="2108" w:type="dxa"/>
            <w:shd w:val="clear" w:color="auto" w:fill="996633"/>
          </w:tcPr>
          <w:p w:rsidR="00ED1028" w:rsidRPr="004D1A78" w:rsidRDefault="00ED1028" w:rsidP="00F2062E">
            <w:pPr>
              <w:ind w:right="567"/>
              <w:rPr>
                <w:rFonts w:ascii="Arial" w:hAnsi="Arial" w:cs="Arial"/>
                <w:color w:val="FFFFFF" w:themeColor="background1"/>
              </w:rPr>
            </w:pPr>
            <w:r w:rsidRPr="004D1A78">
              <w:rPr>
                <w:rFonts w:ascii="Arial" w:hAnsi="Arial" w:cs="Arial"/>
                <w:color w:val="FFFFFF" w:themeColor="background1"/>
              </w:rPr>
              <w:t>Parties involved</w:t>
            </w:r>
          </w:p>
        </w:tc>
        <w:tc>
          <w:tcPr>
            <w:tcW w:w="2552" w:type="dxa"/>
            <w:shd w:val="clear" w:color="auto" w:fill="996633"/>
          </w:tcPr>
          <w:p w:rsidR="00ED1028" w:rsidRPr="004D1A78" w:rsidRDefault="00ED1028" w:rsidP="00F2062E">
            <w:pPr>
              <w:ind w:right="567"/>
              <w:rPr>
                <w:rFonts w:ascii="Arial" w:hAnsi="Arial" w:cs="Arial"/>
                <w:color w:val="FFFFFF" w:themeColor="background1"/>
              </w:rPr>
            </w:pPr>
            <w:r w:rsidRPr="004D1A78">
              <w:rPr>
                <w:rFonts w:ascii="Arial" w:hAnsi="Arial" w:cs="Arial"/>
                <w:color w:val="FFFFFF" w:themeColor="background1"/>
              </w:rPr>
              <w:t>Competition Commission’s recommendation to Tribunal</w:t>
            </w:r>
          </w:p>
        </w:tc>
        <w:tc>
          <w:tcPr>
            <w:tcW w:w="2410" w:type="dxa"/>
            <w:shd w:val="clear" w:color="auto" w:fill="996633"/>
          </w:tcPr>
          <w:p w:rsidR="00ED1028" w:rsidRPr="004D1A78" w:rsidRDefault="00ED1028" w:rsidP="00F2062E">
            <w:pPr>
              <w:ind w:right="567"/>
              <w:rPr>
                <w:rFonts w:ascii="Arial" w:hAnsi="Arial" w:cs="Arial"/>
                <w:color w:val="FFFFFF" w:themeColor="background1"/>
              </w:rPr>
            </w:pPr>
            <w:r>
              <w:rPr>
                <w:rFonts w:ascii="Arial" w:hAnsi="Arial" w:cs="Arial"/>
                <w:color w:val="FFFFFF" w:themeColor="background1"/>
              </w:rPr>
              <w:t xml:space="preserve">Tribunal decision </w:t>
            </w:r>
          </w:p>
        </w:tc>
      </w:tr>
      <w:tr w:rsidR="00ED1028" w:rsidRPr="004D1A78" w:rsidTr="00825CA6">
        <w:trPr>
          <w:trHeight w:val="493"/>
        </w:trPr>
        <w:tc>
          <w:tcPr>
            <w:tcW w:w="1861" w:type="dxa"/>
          </w:tcPr>
          <w:p w:rsidR="00ED1028" w:rsidRPr="0092218D" w:rsidRDefault="00ED1028" w:rsidP="00F2062E">
            <w:pPr>
              <w:ind w:right="567"/>
              <w:jc w:val="both"/>
              <w:rPr>
                <w:rFonts w:ascii="Arial" w:hAnsi="Arial" w:cs="Arial"/>
                <w:sz w:val="20"/>
                <w:szCs w:val="20"/>
              </w:rPr>
            </w:pPr>
            <w:r w:rsidRPr="0092218D">
              <w:rPr>
                <w:rFonts w:ascii="Arial" w:hAnsi="Arial" w:cs="Arial"/>
                <w:sz w:val="20"/>
                <w:szCs w:val="20"/>
              </w:rPr>
              <w:t>Large merger</w:t>
            </w:r>
          </w:p>
        </w:tc>
        <w:tc>
          <w:tcPr>
            <w:tcW w:w="2108" w:type="dxa"/>
          </w:tcPr>
          <w:p w:rsidR="00ED1028" w:rsidRPr="0092218D" w:rsidRDefault="00ED1028" w:rsidP="00F2062E">
            <w:pPr>
              <w:ind w:right="567"/>
              <w:jc w:val="both"/>
              <w:rPr>
                <w:rFonts w:ascii="Arial" w:hAnsi="Arial" w:cs="Arial"/>
                <w:color w:val="000000"/>
                <w:sz w:val="20"/>
                <w:szCs w:val="20"/>
              </w:rPr>
            </w:pPr>
            <w:r>
              <w:rPr>
                <w:rFonts w:ascii="Arial" w:hAnsi="Arial" w:cs="Arial"/>
                <w:color w:val="000000"/>
                <w:sz w:val="20"/>
                <w:szCs w:val="20"/>
              </w:rPr>
              <w:t>Vestfund (Pty) Ltd And DiverC</w:t>
            </w:r>
            <w:r w:rsidRPr="0092218D">
              <w:rPr>
                <w:rFonts w:ascii="Arial" w:hAnsi="Arial" w:cs="Arial"/>
                <w:color w:val="000000"/>
                <w:sz w:val="20"/>
                <w:szCs w:val="20"/>
              </w:rPr>
              <w:t>ity Urban Renewal Fund</w:t>
            </w:r>
          </w:p>
        </w:tc>
        <w:tc>
          <w:tcPr>
            <w:tcW w:w="2552" w:type="dxa"/>
          </w:tcPr>
          <w:p w:rsidR="00ED1028" w:rsidRPr="0092218D" w:rsidRDefault="00ED1028" w:rsidP="00F2062E">
            <w:pPr>
              <w:ind w:right="567"/>
              <w:jc w:val="both"/>
              <w:rPr>
                <w:rFonts w:ascii="Arial" w:hAnsi="Arial" w:cs="Arial"/>
                <w:sz w:val="20"/>
                <w:szCs w:val="20"/>
              </w:rPr>
            </w:pPr>
            <w:r w:rsidRPr="0092218D">
              <w:rPr>
                <w:rFonts w:ascii="Arial" w:hAnsi="Arial" w:cs="Arial"/>
                <w:sz w:val="20"/>
                <w:szCs w:val="20"/>
              </w:rPr>
              <w:t>Approve without conditions</w:t>
            </w:r>
          </w:p>
        </w:tc>
        <w:tc>
          <w:tcPr>
            <w:tcW w:w="2410" w:type="dxa"/>
          </w:tcPr>
          <w:p w:rsidR="00ED1028" w:rsidRPr="0092218D" w:rsidRDefault="00ED1028" w:rsidP="00F2062E">
            <w:pPr>
              <w:ind w:right="567"/>
              <w:jc w:val="both"/>
              <w:rPr>
                <w:rFonts w:ascii="Arial" w:hAnsi="Arial" w:cs="Arial"/>
                <w:sz w:val="20"/>
                <w:szCs w:val="20"/>
              </w:rPr>
            </w:pPr>
            <w:r>
              <w:rPr>
                <w:rFonts w:ascii="Arial" w:hAnsi="Arial" w:cs="Arial"/>
                <w:sz w:val="20"/>
                <w:szCs w:val="20"/>
              </w:rPr>
              <w:t xml:space="preserve">Approved without conditions </w:t>
            </w:r>
          </w:p>
        </w:tc>
      </w:tr>
      <w:tr w:rsidR="00ED1028" w:rsidRPr="004D1A78" w:rsidTr="00825CA6">
        <w:trPr>
          <w:trHeight w:val="493"/>
        </w:trPr>
        <w:tc>
          <w:tcPr>
            <w:tcW w:w="1861" w:type="dxa"/>
          </w:tcPr>
          <w:p w:rsidR="00ED1028" w:rsidRPr="0092218D" w:rsidRDefault="00ED1028" w:rsidP="00F2062E">
            <w:pPr>
              <w:ind w:right="567"/>
              <w:jc w:val="both"/>
              <w:rPr>
                <w:rFonts w:ascii="Arial" w:hAnsi="Arial" w:cs="Arial"/>
                <w:sz w:val="20"/>
                <w:szCs w:val="20"/>
              </w:rPr>
            </w:pPr>
            <w:r w:rsidRPr="0092218D">
              <w:rPr>
                <w:rFonts w:ascii="Arial" w:hAnsi="Arial" w:cs="Arial"/>
                <w:sz w:val="20"/>
                <w:szCs w:val="20"/>
              </w:rPr>
              <w:t xml:space="preserve">Large merger </w:t>
            </w:r>
          </w:p>
        </w:tc>
        <w:tc>
          <w:tcPr>
            <w:tcW w:w="2108" w:type="dxa"/>
          </w:tcPr>
          <w:p w:rsidR="00ED1028" w:rsidRPr="0092218D" w:rsidRDefault="00ED1028" w:rsidP="00F2062E">
            <w:pPr>
              <w:ind w:right="567"/>
              <w:jc w:val="both"/>
              <w:rPr>
                <w:rFonts w:ascii="Arial" w:hAnsi="Arial" w:cs="Arial"/>
                <w:sz w:val="20"/>
                <w:szCs w:val="20"/>
              </w:rPr>
            </w:pPr>
            <w:r w:rsidRPr="0092218D">
              <w:rPr>
                <w:rFonts w:ascii="Arial" w:hAnsi="Arial" w:cs="Arial"/>
                <w:color w:val="000000"/>
                <w:sz w:val="20"/>
                <w:szCs w:val="20"/>
              </w:rPr>
              <w:t>HCI 111 Commissioner (Pty) Ltd And Redefine Properties Ltd In Respect of The Property Letting Enterprise Known as 111 Commissioner Street</w:t>
            </w:r>
          </w:p>
        </w:tc>
        <w:tc>
          <w:tcPr>
            <w:tcW w:w="2552" w:type="dxa"/>
          </w:tcPr>
          <w:p w:rsidR="00ED1028" w:rsidRPr="0092218D" w:rsidRDefault="00ED1028" w:rsidP="00F2062E">
            <w:pPr>
              <w:ind w:right="567"/>
              <w:jc w:val="both"/>
              <w:rPr>
                <w:rFonts w:ascii="Arial" w:hAnsi="Arial" w:cs="Arial"/>
                <w:sz w:val="20"/>
                <w:szCs w:val="20"/>
              </w:rPr>
            </w:pPr>
            <w:r w:rsidRPr="0092218D">
              <w:rPr>
                <w:rFonts w:ascii="Arial" w:hAnsi="Arial" w:cs="Arial"/>
                <w:sz w:val="20"/>
                <w:szCs w:val="20"/>
              </w:rPr>
              <w:t xml:space="preserve">Approve without conditions </w:t>
            </w:r>
          </w:p>
        </w:tc>
        <w:tc>
          <w:tcPr>
            <w:tcW w:w="2410" w:type="dxa"/>
          </w:tcPr>
          <w:p w:rsidR="00ED1028" w:rsidRPr="0092218D" w:rsidRDefault="00ED1028" w:rsidP="00F2062E">
            <w:pPr>
              <w:ind w:right="567"/>
              <w:jc w:val="both"/>
              <w:rPr>
                <w:rFonts w:ascii="Arial" w:hAnsi="Arial" w:cs="Arial"/>
                <w:sz w:val="20"/>
                <w:szCs w:val="20"/>
              </w:rPr>
            </w:pPr>
            <w:r>
              <w:rPr>
                <w:rFonts w:ascii="Arial" w:hAnsi="Arial" w:cs="Arial"/>
                <w:sz w:val="20"/>
                <w:szCs w:val="20"/>
              </w:rPr>
              <w:t>Approved without conditions</w:t>
            </w:r>
          </w:p>
        </w:tc>
      </w:tr>
      <w:tr w:rsidR="00ED1028" w:rsidRPr="004D1A78" w:rsidTr="00825CA6">
        <w:trPr>
          <w:trHeight w:val="70"/>
        </w:trPr>
        <w:tc>
          <w:tcPr>
            <w:tcW w:w="1861" w:type="dxa"/>
          </w:tcPr>
          <w:p w:rsidR="00ED1028" w:rsidRPr="0092218D" w:rsidRDefault="00ED1028" w:rsidP="00F2062E">
            <w:pPr>
              <w:ind w:right="567"/>
              <w:jc w:val="both"/>
              <w:rPr>
                <w:rFonts w:ascii="Arial" w:hAnsi="Arial" w:cs="Arial"/>
                <w:color w:val="000000"/>
                <w:sz w:val="20"/>
                <w:szCs w:val="20"/>
              </w:rPr>
            </w:pPr>
            <w:r w:rsidRPr="0092218D">
              <w:rPr>
                <w:rFonts w:ascii="Arial" w:hAnsi="Arial" w:cs="Arial"/>
                <w:color w:val="000000"/>
                <w:sz w:val="20"/>
                <w:szCs w:val="20"/>
              </w:rPr>
              <w:t>Large merger</w:t>
            </w:r>
          </w:p>
        </w:tc>
        <w:tc>
          <w:tcPr>
            <w:tcW w:w="2108" w:type="dxa"/>
          </w:tcPr>
          <w:p w:rsidR="00ED1028" w:rsidRPr="0092218D" w:rsidRDefault="00ED1028" w:rsidP="00F2062E">
            <w:pPr>
              <w:ind w:right="567"/>
              <w:jc w:val="both"/>
              <w:rPr>
                <w:rFonts w:ascii="Arial" w:hAnsi="Arial" w:cs="Arial"/>
                <w:color w:val="000000"/>
                <w:sz w:val="20"/>
                <w:szCs w:val="20"/>
              </w:rPr>
            </w:pPr>
            <w:r w:rsidRPr="0092218D">
              <w:rPr>
                <w:rFonts w:ascii="Arial" w:hAnsi="Arial" w:cs="Arial"/>
                <w:color w:val="000000"/>
                <w:sz w:val="20"/>
                <w:szCs w:val="20"/>
              </w:rPr>
              <w:t>Bearing Man Group (Pty) Ltd And Fenner Conveyor Belting (South Africa) (Pty) Ltd</w:t>
            </w:r>
          </w:p>
        </w:tc>
        <w:tc>
          <w:tcPr>
            <w:tcW w:w="2552" w:type="dxa"/>
          </w:tcPr>
          <w:p w:rsidR="00ED1028" w:rsidRPr="0092218D" w:rsidRDefault="00ED1028" w:rsidP="00F2062E">
            <w:pPr>
              <w:ind w:right="567"/>
              <w:rPr>
                <w:rFonts w:ascii="Arial" w:hAnsi="Arial" w:cs="Arial"/>
                <w:sz w:val="20"/>
                <w:szCs w:val="20"/>
              </w:rPr>
            </w:pPr>
            <w:r w:rsidRPr="0092218D">
              <w:rPr>
                <w:rFonts w:ascii="Arial" w:hAnsi="Arial" w:cs="Arial"/>
                <w:sz w:val="20"/>
                <w:szCs w:val="20"/>
              </w:rPr>
              <w:t xml:space="preserve">Approve without conditions </w:t>
            </w:r>
          </w:p>
        </w:tc>
        <w:tc>
          <w:tcPr>
            <w:tcW w:w="2410" w:type="dxa"/>
          </w:tcPr>
          <w:p w:rsidR="00ED1028" w:rsidRPr="0092218D" w:rsidRDefault="00D41697" w:rsidP="00F2062E">
            <w:pPr>
              <w:ind w:right="567"/>
              <w:rPr>
                <w:rFonts w:ascii="Arial" w:hAnsi="Arial" w:cs="Arial"/>
                <w:sz w:val="20"/>
                <w:szCs w:val="20"/>
              </w:rPr>
            </w:pPr>
            <w:r>
              <w:rPr>
                <w:rFonts w:ascii="Arial" w:hAnsi="Arial" w:cs="Arial"/>
                <w:sz w:val="20"/>
                <w:szCs w:val="20"/>
              </w:rPr>
              <w:t xml:space="preserve">Approved without conditions </w:t>
            </w:r>
          </w:p>
        </w:tc>
      </w:tr>
      <w:tr w:rsidR="00ED1028" w:rsidRPr="004D1A78" w:rsidTr="00825CA6">
        <w:trPr>
          <w:trHeight w:val="1303"/>
        </w:trPr>
        <w:tc>
          <w:tcPr>
            <w:tcW w:w="1861" w:type="dxa"/>
          </w:tcPr>
          <w:p w:rsidR="00ED1028" w:rsidRPr="0092218D" w:rsidRDefault="00ED1028" w:rsidP="00F2062E">
            <w:pPr>
              <w:ind w:right="567"/>
              <w:jc w:val="both"/>
              <w:rPr>
                <w:rFonts w:ascii="Arial" w:hAnsi="Arial" w:cs="Arial"/>
                <w:color w:val="000000"/>
                <w:sz w:val="20"/>
                <w:szCs w:val="20"/>
              </w:rPr>
            </w:pPr>
            <w:r w:rsidRPr="0092218D">
              <w:rPr>
                <w:rFonts w:ascii="Arial" w:hAnsi="Arial" w:cs="Arial"/>
                <w:color w:val="000000"/>
                <w:sz w:val="20"/>
                <w:szCs w:val="20"/>
              </w:rPr>
              <w:t xml:space="preserve">Large merger </w:t>
            </w:r>
          </w:p>
        </w:tc>
        <w:tc>
          <w:tcPr>
            <w:tcW w:w="2108" w:type="dxa"/>
          </w:tcPr>
          <w:p w:rsidR="00ED1028" w:rsidRPr="0092218D" w:rsidRDefault="00ED1028" w:rsidP="00F2062E">
            <w:pPr>
              <w:ind w:right="567"/>
              <w:jc w:val="both"/>
              <w:rPr>
                <w:rFonts w:ascii="Arial" w:hAnsi="Arial" w:cs="Arial"/>
                <w:color w:val="000000"/>
                <w:sz w:val="20"/>
                <w:szCs w:val="20"/>
              </w:rPr>
            </w:pPr>
            <w:r w:rsidRPr="0092218D">
              <w:rPr>
                <w:rFonts w:ascii="Arial" w:hAnsi="Arial" w:cs="Arial"/>
                <w:color w:val="000000"/>
                <w:sz w:val="20"/>
                <w:szCs w:val="20"/>
              </w:rPr>
              <w:t xml:space="preserve">Thebe Investment Corporation (Pty) Ltd and New Africa Investments Limited </w:t>
            </w:r>
          </w:p>
        </w:tc>
        <w:tc>
          <w:tcPr>
            <w:tcW w:w="2552" w:type="dxa"/>
          </w:tcPr>
          <w:p w:rsidR="00ED1028" w:rsidRPr="0092218D" w:rsidRDefault="00ED1028" w:rsidP="00F2062E">
            <w:pPr>
              <w:ind w:right="567"/>
              <w:rPr>
                <w:rFonts w:ascii="Arial" w:hAnsi="Arial" w:cs="Arial"/>
                <w:sz w:val="20"/>
                <w:szCs w:val="20"/>
              </w:rPr>
            </w:pPr>
            <w:r w:rsidRPr="0092218D">
              <w:rPr>
                <w:rFonts w:ascii="Arial" w:hAnsi="Arial" w:cs="Arial"/>
                <w:sz w:val="20"/>
                <w:szCs w:val="20"/>
              </w:rPr>
              <w:t xml:space="preserve">Approve without conditions </w:t>
            </w:r>
          </w:p>
        </w:tc>
        <w:tc>
          <w:tcPr>
            <w:tcW w:w="2410" w:type="dxa"/>
          </w:tcPr>
          <w:p w:rsidR="00ED1028" w:rsidRPr="0092218D" w:rsidRDefault="00F54924" w:rsidP="00F2062E">
            <w:pPr>
              <w:ind w:right="567"/>
              <w:rPr>
                <w:rFonts w:ascii="Arial" w:hAnsi="Arial" w:cs="Arial"/>
                <w:sz w:val="20"/>
                <w:szCs w:val="20"/>
              </w:rPr>
            </w:pPr>
            <w:r>
              <w:rPr>
                <w:rFonts w:ascii="Arial" w:hAnsi="Arial" w:cs="Arial"/>
                <w:sz w:val="20"/>
                <w:szCs w:val="20"/>
              </w:rPr>
              <w:t xml:space="preserve">Approved without conditions </w:t>
            </w:r>
          </w:p>
        </w:tc>
      </w:tr>
      <w:tr w:rsidR="00ED1028" w:rsidRPr="004D1A78" w:rsidTr="00825CA6">
        <w:trPr>
          <w:trHeight w:val="706"/>
        </w:trPr>
        <w:tc>
          <w:tcPr>
            <w:tcW w:w="1861" w:type="dxa"/>
          </w:tcPr>
          <w:p w:rsidR="00ED1028" w:rsidRPr="0092218D" w:rsidRDefault="00ED1028" w:rsidP="00F2062E">
            <w:pPr>
              <w:ind w:right="567"/>
              <w:jc w:val="both"/>
              <w:rPr>
                <w:rFonts w:ascii="Arial" w:hAnsi="Arial" w:cs="Arial"/>
                <w:color w:val="000000"/>
                <w:sz w:val="20"/>
                <w:szCs w:val="20"/>
              </w:rPr>
            </w:pPr>
            <w:r w:rsidRPr="0092218D">
              <w:rPr>
                <w:rFonts w:ascii="Arial" w:hAnsi="Arial" w:cs="Arial"/>
                <w:color w:val="000000"/>
                <w:sz w:val="20"/>
                <w:szCs w:val="20"/>
              </w:rPr>
              <w:t>Settlement agreement</w:t>
            </w:r>
          </w:p>
        </w:tc>
        <w:tc>
          <w:tcPr>
            <w:tcW w:w="2108" w:type="dxa"/>
          </w:tcPr>
          <w:p w:rsidR="00ED1028" w:rsidRPr="0092218D" w:rsidRDefault="00ED1028" w:rsidP="00F2062E">
            <w:pPr>
              <w:ind w:right="567"/>
              <w:jc w:val="both"/>
              <w:rPr>
                <w:rFonts w:ascii="Arial" w:hAnsi="Arial" w:cs="Arial"/>
                <w:color w:val="000000"/>
                <w:sz w:val="20"/>
                <w:szCs w:val="20"/>
              </w:rPr>
            </w:pPr>
            <w:r w:rsidRPr="0092218D">
              <w:rPr>
                <w:rFonts w:ascii="Arial" w:hAnsi="Arial" w:cs="Arial"/>
                <w:color w:val="000000"/>
                <w:sz w:val="20"/>
                <w:szCs w:val="20"/>
              </w:rPr>
              <w:t>Competition Commission And Evraz Highveld Steel and Vanadium Ltd</w:t>
            </w:r>
          </w:p>
        </w:tc>
        <w:tc>
          <w:tcPr>
            <w:tcW w:w="2552" w:type="dxa"/>
          </w:tcPr>
          <w:p w:rsidR="00ED1028" w:rsidRPr="0092218D" w:rsidRDefault="00F54924" w:rsidP="00F2062E">
            <w:pPr>
              <w:ind w:right="567"/>
              <w:rPr>
                <w:rFonts w:ascii="Arial" w:hAnsi="Arial" w:cs="Arial"/>
                <w:sz w:val="20"/>
                <w:szCs w:val="20"/>
              </w:rPr>
            </w:pPr>
            <w:r>
              <w:rPr>
                <w:rFonts w:ascii="Arial" w:hAnsi="Arial" w:cs="Arial"/>
                <w:sz w:val="20"/>
                <w:szCs w:val="20"/>
              </w:rPr>
              <w:t xml:space="preserve">Confirm </w:t>
            </w:r>
            <w:r w:rsidR="00ED1028" w:rsidRPr="0092218D">
              <w:rPr>
                <w:rFonts w:ascii="Arial" w:hAnsi="Arial" w:cs="Arial"/>
                <w:sz w:val="20"/>
                <w:szCs w:val="20"/>
              </w:rPr>
              <w:t>settlement agreement</w:t>
            </w:r>
          </w:p>
        </w:tc>
        <w:tc>
          <w:tcPr>
            <w:tcW w:w="2410" w:type="dxa"/>
          </w:tcPr>
          <w:p w:rsidR="00ED1028" w:rsidRPr="0092218D" w:rsidRDefault="00F54924" w:rsidP="00F2062E">
            <w:pPr>
              <w:ind w:right="567"/>
              <w:rPr>
                <w:rFonts w:ascii="Arial" w:hAnsi="Arial" w:cs="Arial"/>
                <w:sz w:val="20"/>
                <w:szCs w:val="20"/>
              </w:rPr>
            </w:pPr>
            <w:r>
              <w:rPr>
                <w:rFonts w:ascii="Arial" w:hAnsi="Arial" w:cs="Arial"/>
                <w:sz w:val="20"/>
                <w:szCs w:val="20"/>
              </w:rPr>
              <w:t>Confirmed settlement agreement</w:t>
            </w:r>
          </w:p>
        </w:tc>
      </w:tr>
    </w:tbl>
    <w:p w:rsidR="00E06EF2" w:rsidRDefault="00E06EF2" w:rsidP="00EB74B3">
      <w:pPr>
        <w:autoSpaceDE w:val="0"/>
        <w:autoSpaceDN w:val="0"/>
        <w:spacing w:line="276" w:lineRule="auto"/>
        <w:ind w:left="851" w:hanging="851"/>
        <w:jc w:val="both"/>
        <w:rPr>
          <w:rFonts w:ascii="Arial" w:hAnsi="Arial" w:cs="Arial"/>
          <w:b/>
          <w:bCs/>
          <w:sz w:val="20"/>
          <w:szCs w:val="20"/>
          <w:lang w:val="en-GB"/>
        </w:rPr>
      </w:pPr>
    </w:p>
    <w:p w:rsidR="00E06EF2" w:rsidRDefault="00E06EF2" w:rsidP="00EB74B3">
      <w:pPr>
        <w:autoSpaceDE w:val="0"/>
        <w:autoSpaceDN w:val="0"/>
        <w:spacing w:line="276" w:lineRule="auto"/>
        <w:ind w:left="851" w:hanging="851"/>
        <w:jc w:val="both"/>
        <w:rPr>
          <w:rFonts w:ascii="Arial" w:hAnsi="Arial" w:cs="Arial"/>
          <w:b/>
          <w:bCs/>
          <w:sz w:val="20"/>
          <w:szCs w:val="20"/>
          <w:lang w:val="en-GB"/>
        </w:rPr>
      </w:pPr>
    </w:p>
    <w:p w:rsidR="00E06EF2" w:rsidRPr="00F54924" w:rsidRDefault="00E06EF2" w:rsidP="00F54924">
      <w:pPr>
        <w:autoSpaceDE w:val="0"/>
        <w:autoSpaceDN w:val="0"/>
        <w:spacing w:line="276" w:lineRule="auto"/>
        <w:ind w:left="454" w:right="454" w:hanging="851"/>
        <w:jc w:val="both"/>
        <w:rPr>
          <w:rFonts w:ascii="Arial" w:hAnsi="Arial" w:cs="Arial"/>
          <w:b/>
          <w:bCs/>
          <w:lang w:val="en-GB"/>
        </w:rPr>
      </w:pPr>
    </w:p>
    <w:p w:rsidR="00ED1028" w:rsidRPr="00F54924" w:rsidRDefault="00F46869" w:rsidP="00F54924">
      <w:pPr>
        <w:spacing w:line="276" w:lineRule="auto"/>
        <w:ind w:left="454" w:right="454"/>
        <w:jc w:val="both"/>
        <w:rPr>
          <w:rFonts w:ascii="Arial" w:hAnsi="Arial" w:cs="Arial"/>
          <w:b/>
          <w:bCs/>
        </w:rPr>
      </w:pPr>
      <w:r w:rsidRPr="00F54924">
        <w:rPr>
          <w:rFonts w:ascii="Arial" w:hAnsi="Arial" w:cs="Arial"/>
          <w:b/>
          <w:bCs/>
        </w:rPr>
        <w:t xml:space="preserve"> </w:t>
      </w:r>
      <w:r w:rsidR="0092218D" w:rsidRPr="00F54924">
        <w:rPr>
          <w:rFonts w:ascii="Arial" w:hAnsi="Arial" w:cs="Arial"/>
          <w:b/>
          <w:bCs/>
        </w:rPr>
        <w:t xml:space="preserve">Merger involving Vestfund and other Property enterprises </w:t>
      </w:r>
      <w:r w:rsidR="00ED1028" w:rsidRPr="00F54924">
        <w:rPr>
          <w:rFonts w:ascii="Arial" w:hAnsi="Arial" w:cs="Arial"/>
          <w:b/>
          <w:bCs/>
        </w:rPr>
        <w:t xml:space="preserve">approved </w:t>
      </w:r>
    </w:p>
    <w:p w:rsidR="00ED1028" w:rsidRPr="00F54924" w:rsidRDefault="00ED1028" w:rsidP="00F54924">
      <w:pPr>
        <w:spacing w:line="276" w:lineRule="auto"/>
        <w:ind w:left="454" w:right="454"/>
        <w:jc w:val="both"/>
        <w:rPr>
          <w:rFonts w:ascii="Arial" w:hAnsi="Arial" w:cs="Arial"/>
          <w:b/>
          <w:bCs/>
        </w:rPr>
      </w:pPr>
    </w:p>
    <w:p w:rsidR="0092218D" w:rsidRPr="00F54924" w:rsidRDefault="0092218D" w:rsidP="00F54924">
      <w:pPr>
        <w:spacing w:line="276" w:lineRule="auto"/>
        <w:ind w:left="454" w:right="454"/>
        <w:jc w:val="both"/>
        <w:rPr>
          <w:rFonts w:ascii="Arial" w:hAnsi="Arial" w:cs="Arial"/>
          <w:b/>
          <w:bCs/>
        </w:rPr>
      </w:pPr>
      <w:r w:rsidRPr="00F54924">
        <w:rPr>
          <w:rFonts w:ascii="Arial" w:hAnsi="Arial" w:cs="Arial"/>
        </w:rPr>
        <w:t xml:space="preserve">The Tribunal </w:t>
      </w:r>
      <w:r w:rsidR="00ED1028" w:rsidRPr="00F54924">
        <w:rPr>
          <w:rFonts w:ascii="Arial" w:hAnsi="Arial" w:cs="Arial"/>
        </w:rPr>
        <w:t xml:space="preserve">has unconditionally approved the </w:t>
      </w:r>
      <w:r w:rsidRPr="00F54924">
        <w:rPr>
          <w:rFonts w:ascii="Arial" w:hAnsi="Arial" w:cs="Arial"/>
        </w:rPr>
        <w:t xml:space="preserve">merger whereby </w:t>
      </w:r>
      <w:proofErr w:type="spellStart"/>
      <w:r w:rsidRPr="00F54924">
        <w:rPr>
          <w:rFonts w:ascii="Arial" w:hAnsi="Arial" w:cs="Arial"/>
        </w:rPr>
        <w:t>Vestfund</w:t>
      </w:r>
      <w:proofErr w:type="spellEnd"/>
      <w:r w:rsidRPr="00F54924">
        <w:rPr>
          <w:rFonts w:ascii="Arial" w:hAnsi="Arial" w:cs="Arial"/>
        </w:rPr>
        <w:t xml:space="preserve"> (Pty) Ltd (Vestfund) acquires control over a mixed use private holding, investment and development fund, Diver</w:t>
      </w:r>
      <w:r w:rsidR="006F60BE" w:rsidRPr="00F54924">
        <w:rPr>
          <w:rFonts w:ascii="Arial" w:hAnsi="Arial" w:cs="Arial"/>
        </w:rPr>
        <w:t>City Urban Renewal Fund (“DiverC</w:t>
      </w:r>
      <w:r w:rsidRPr="00F54924">
        <w:rPr>
          <w:rFonts w:ascii="Arial" w:hAnsi="Arial" w:cs="Arial"/>
        </w:rPr>
        <w:t>ity”) and the control of four properties.  </w:t>
      </w:r>
    </w:p>
    <w:p w:rsidR="0092218D" w:rsidRPr="00F54924" w:rsidRDefault="0092218D" w:rsidP="00F54924">
      <w:pPr>
        <w:spacing w:line="276" w:lineRule="auto"/>
        <w:ind w:left="454" w:right="454" w:hanging="851"/>
        <w:jc w:val="both"/>
        <w:rPr>
          <w:rFonts w:ascii="Arial" w:hAnsi="Arial" w:cs="Arial"/>
          <w:b/>
          <w:bCs/>
        </w:rPr>
      </w:pPr>
    </w:p>
    <w:p w:rsidR="0092218D" w:rsidRPr="00F54924" w:rsidRDefault="0092218D" w:rsidP="00F54924">
      <w:pPr>
        <w:spacing w:line="276" w:lineRule="auto"/>
        <w:ind w:left="454" w:right="454"/>
        <w:jc w:val="both"/>
        <w:rPr>
          <w:rFonts w:ascii="Arial" w:hAnsi="Arial" w:cs="Arial"/>
          <w:lang w:val="en-GB"/>
        </w:rPr>
      </w:pPr>
      <w:r w:rsidRPr="00F54924">
        <w:rPr>
          <w:rFonts w:ascii="Arial" w:hAnsi="Arial" w:cs="Arial"/>
          <w:lang w:val="en-GB"/>
        </w:rPr>
        <w:t xml:space="preserve">Vestfund is a diversified investment company, with a specific focus on property holdings and investments. Vestfund’s joint controllers, Old Mutual Life Assurance Company (South Africa) (Pty) Ltd and Circlevest Property Holdings (Pty) Ltd are engaged in a variety of businesses including asset management, life insurance, banking and investment products and property holding investments, respectively. </w:t>
      </w:r>
    </w:p>
    <w:p w:rsidR="006F60BE" w:rsidRPr="00F54924" w:rsidRDefault="006F60BE" w:rsidP="00F54924">
      <w:pPr>
        <w:spacing w:line="276" w:lineRule="auto"/>
        <w:ind w:left="454" w:right="454"/>
        <w:jc w:val="both"/>
        <w:rPr>
          <w:rFonts w:ascii="Arial" w:hAnsi="Arial" w:cs="Arial"/>
          <w:lang w:val="en-GB"/>
        </w:rPr>
      </w:pPr>
    </w:p>
    <w:p w:rsidR="0092218D" w:rsidRPr="00F54924" w:rsidRDefault="0092218D" w:rsidP="00F54924">
      <w:pPr>
        <w:spacing w:line="276" w:lineRule="auto"/>
        <w:ind w:left="454" w:right="454"/>
        <w:jc w:val="both"/>
        <w:rPr>
          <w:rFonts w:ascii="Arial" w:hAnsi="Arial" w:cs="Arial"/>
          <w:lang w:val="en-GB"/>
        </w:rPr>
      </w:pPr>
      <w:r w:rsidRPr="00F54924">
        <w:rPr>
          <w:rFonts w:ascii="Arial" w:hAnsi="Arial" w:cs="Arial"/>
          <w:lang w:val="en-GB"/>
        </w:rPr>
        <w:t xml:space="preserve">DiverCity Fund is a property investment and holding company which, pre-transaction holds an interest in Sterland Property Development which is a property holding special purpose vehicle which owns the property letting enterprise known as Sterland Centre. </w:t>
      </w:r>
    </w:p>
    <w:p w:rsidR="0092218D" w:rsidRPr="00F54924" w:rsidRDefault="0092218D" w:rsidP="00F54924">
      <w:pPr>
        <w:spacing w:line="276" w:lineRule="auto"/>
        <w:ind w:left="454" w:right="454"/>
        <w:jc w:val="both"/>
        <w:rPr>
          <w:rFonts w:ascii="Arial" w:hAnsi="Arial" w:cs="Arial"/>
        </w:rPr>
      </w:pPr>
    </w:p>
    <w:p w:rsidR="0092218D" w:rsidRPr="00F54924" w:rsidRDefault="0092218D" w:rsidP="00F54924">
      <w:pPr>
        <w:spacing w:line="276" w:lineRule="auto"/>
        <w:ind w:left="454" w:right="454"/>
        <w:jc w:val="both"/>
        <w:rPr>
          <w:rFonts w:ascii="Arial" w:hAnsi="Arial" w:cs="Arial"/>
          <w:lang w:val="en-GB"/>
        </w:rPr>
      </w:pPr>
      <w:r w:rsidRPr="00F54924">
        <w:rPr>
          <w:rFonts w:ascii="Arial" w:hAnsi="Arial" w:cs="Arial"/>
          <w:lang w:val="en-GB"/>
        </w:rPr>
        <w:t xml:space="preserve">The target properties are: </w:t>
      </w:r>
    </w:p>
    <w:p w:rsidR="0092218D" w:rsidRPr="00F54924" w:rsidRDefault="006F60BE" w:rsidP="00F54924">
      <w:pPr>
        <w:pStyle w:val="ListParagraph"/>
        <w:numPr>
          <w:ilvl w:val="0"/>
          <w:numId w:val="1"/>
        </w:numPr>
        <w:spacing w:line="276" w:lineRule="auto"/>
        <w:ind w:left="454" w:right="454"/>
        <w:jc w:val="both"/>
        <w:rPr>
          <w:rFonts w:ascii="Arial" w:hAnsi="Arial" w:cs="Arial"/>
          <w:lang w:val="en-GB"/>
        </w:rPr>
      </w:pPr>
      <w:r w:rsidRPr="00F54924">
        <w:rPr>
          <w:rFonts w:ascii="Arial" w:hAnsi="Arial" w:cs="Arial"/>
          <w:lang w:val="en-GB"/>
        </w:rPr>
        <w:t>Pan Africa</w:t>
      </w:r>
      <w:r w:rsidR="0092218D" w:rsidRPr="00F54924">
        <w:rPr>
          <w:rFonts w:ascii="Arial" w:hAnsi="Arial" w:cs="Arial"/>
          <w:lang w:val="en-GB"/>
        </w:rPr>
        <w:t xml:space="preserve"> Mall, a retail large community shopping centre situated in Wynberg, Johannesburg; </w:t>
      </w:r>
    </w:p>
    <w:p w:rsidR="0092218D" w:rsidRPr="00F54924" w:rsidRDefault="0092218D" w:rsidP="00F54924">
      <w:pPr>
        <w:pStyle w:val="ListParagraph"/>
        <w:numPr>
          <w:ilvl w:val="0"/>
          <w:numId w:val="1"/>
        </w:numPr>
        <w:spacing w:line="276" w:lineRule="auto"/>
        <w:ind w:left="454" w:right="454"/>
        <w:jc w:val="both"/>
        <w:rPr>
          <w:rFonts w:ascii="Arial" w:hAnsi="Arial" w:cs="Arial"/>
          <w:lang w:val="en-GB"/>
        </w:rPr>
      </w:pPr>
      <w:r w:rsidRPr="00F54924">
        <w:rPr>
          <w:rFonts w:ascii="Arial" w:hAnsi="Arial" w:cs="Arial"/>
          <w:lang w:val="en-GB"/>
        </w:rPr>
        <w:t>Sterland Centre, a retail community shopping centre situated in Arcadia, Pretoria;</w:t>
      </w:r>
    </w:p>
    <w:p w:rsidR="0092218D" w:rsidRPr="00F54924" w:rsidRDefault="0092218D" w:rsidP="00F54924">
      <w:pPr>
        <w:pStyle w:val="ListParagraph"/>
        <w:numPr>
          <w:ilvl w:val="0"/>
          <w:numId w:val="1"/>
        </w:numPr>
        <w:spacing w:line="276" w:lineRule="auto"/>
        <w:ind w:left="454" w:right="454"/>
        <w:jc w:val="both"/>
        <w:rPr>
          <w:rFonts w:ascii="Arial" w:hAnsi="Arial" w:cs="Arial"/>
          <w:lang w:val="en-GB"/>
        </w:rPr>
      </w:pPr>
      <w:r w:rsidRPr="00F54924">
        <w:rPr>
          <w:rFonts w:ascii="Arial" w:hAnsi="Arial" w:cs="Arial"/>
          <w:lang w:val="en-GB"/>
        </w:rPr>
        <w:t>Pixley House, a number of residential apartments in the Durban CBD; and</w:t>
      </w:r>
    </w:p>
    <w:p w:rsidR="0092218D" w:rsidRPr="00F54924" w:rsidRDefault="0092218D" w:rsidP="00F54924">
      <w:pPr>
        <w:pStyle w:val="ListParagraph"/>
        <w:numPr>
          <w:ilvl w:val="0"/>
          <w:numId w:val="1"/>
        </w:numPr>
        <w:spacing w:line="276" w:lineRule="auto"/>
        <w:ind w:left="454" w:right="454"/>
        <w:jc w:val="both"/>
        <w:rPr>
          <w:rFonts w:ascii="Arial" w:hAnsi="Arial" w:cs="Arial"/>
          <w:lang w:val="en-GB"/>
        </w:rPr>
      </w:pPr>
      <w:r w:rsidRPr="00F54924">
        <w:rPr>
          <w:rFonts w:ascii="Arial" w:hAnsi="Arial" w:cs="Arial"/>
          <w:lang w:val="en-GB"/>
        </w:rPr>
        <w:t xml:space="preserve">Situation East, a collections of residential apartments in the Johannesburg CBD. </w:t>
      </w:r>
    </w:p>
    <w:p w:rsidR="00ED1028" w:rsidRPr="00F54924" w:rsidRDefault="00ED1028" w:rsidP="00F54924">
      <w:pPr>
        <w:spacing w:line="276" w:lineRule="auto"/>
        <w:ind w:left="454" w:right="454"/>
        <w:jc w:val="both"/>
        <w:rPr>
          <w:rFonts w:ascii="Arial" w:hAnsi="Arial" w:cs="Arial"/>
          <w:lang w:val="en-GB"/>
        </w:rPr>
      </w:pPr>
    </w:p>
    <w:p w:rsidR="0092218D" w:rsidRPr="00F54924" w:rsidRDefault="00ED1028" w:rsidP="00F54924">
      <w:pPr>
        <w:spacing w:line="276" w:lineRule="auto"/>
        <w:ind w:left="454" w:right="454"/>
        <w:jc w:val="both"/>
        <w:rPr>
          <w:rFonts w:ascii="Arial" w:hAnsi="Arial" w:cs="Arial"/>
          <w:b/>
          <w:bCs/>
        </w:rPr>
      </w:pPr>
      <w:r w:rsidRPr="00F54924">
        <w:rPr>
          <w:rFonts w:ascii="Arial" w:hAnsi="Arial" w:cs="Arial"/>
          <w:b/>
          <w:bCs/>
        </w:rPr>
        <w:t xml:space="preserve">Merger involving HCI 111 Commissioner and </w:t>
      </w:r>
      <w:r w:rsidR="0092218D" w:rsidRPr="00F54924">
        <w:rPr>
          <w:rFonts w:ascii="Arial" w:hAnsi="Arial" w:cs="Arial"/>
          <w:b/>
          <w:bCs/>
        </w:rPr>
        <w:t xml:space="preserve">Johannesburg CBD property </w:t>
      </w:r>
      <w:r w:rsidRPr="00F54924">
        <w:rPr>
          <w:rFonts w:ascii="Arial" w:hAnsi="Arial" w:cs="Arial"/>
          <w:b/>
          <w:bCs/>
        </w:rPr>
        <w:t xml:space="preserve">approved </w:t>
      </w:r>
    </w:p>
    <w:p w:rsidR="0092218D" w:rsidRPr="00F54924" w:rsidRDefault="0092218D" w:rsidP="00F54924">
      <w:pPr>
        <w:spacing w:line="276" w:lineRule="auto"/>
        <w:ind w:left="454" w:right="454" w:hanging="851"/>
        <w:jc w:val="both"/>
        <w:rPr>
          <w:rFonts w:ascii="Arial" w:hAnsi="Arial" w:cs="Arial"/>
          <w:b/>
          <w:bCs/>
        </w:rPr>
      </w:pPr>
    </w:p>
    <w:p w:rsidR="0092218D" w:rsidRPr="00F54924" w:rsidRDefault="00ED1028" w:rsidP="00F54924">
      <w:pPr>
        <w:spacing w:line="276" w:lineRule="auto"/>
        <w:ind w:left="454" w:right="454"/>
        <w:jc w:val="both"/>
        <w:rPr>
          <w:rFonts w:ascii="Arial" w:hAnsi="Arial" w:cs="Arial"/>
          <w:lang w:val="en-GB"/>
        </w:rPr>
      </w:pPr>
      <w:r w:rsidRPr="00F54924">
        <w:rPr>
          <w:rFonts w:ascii="Arial" w:hAnsi="Arial" w:cs="Arial"/>
          <w:lang w:val="en-GB"/>
        </w:rPr>
        <w:t xml:space="preserve">The Tribunal has approved the acquisition by </w:t>
      </w:r>
      <w:r w:rsidR="0092218D" w:rsidRPr="00F54924">
        <w:rPr>
          <w:rFonts w:ascii="Arial" w:hAnsi="Arial" w:cs="Arial"/>
          <w:lang w:val="en-GB"/>
        </w:rPr>
        <w:t xml:space="preserve">HCI Commissioner (Pty) Ltd (HCI 111 Commissioner), a wholly owned subsidiary of Hosken Consolidated Investments Limited, </w:t>
      </w:r>
      <w:r w:rsidRPr="00F54924">
        <w:rPr>
          <w:rFonts w:ascii="Arial" w:hAnsi="Arial" w:cs="Arial"/>
          <w:lang w:val="en-GB"/>
        </w:rPr>
        <w:t>of the</w:t>
      </w:r>
      <w:r w:rsidR="0092218D" w:rsidRPr="00F54924">
        <w:rPr>
          <w:rFonts w:ascii="Arial" w:hAnsi="Arial" w:cs="Arial"/>
          <w:lang w:val="en-GB"/>
        </w:rPr>
        <w:t xml:space="preserve"> property known as 111 Commissioner Street from Redefine Properties Limited (Redefine) as a going concern, including immovable property, buildings, lease agreements and movable assets.</w:t>
      </w:r>
    </w:p>
    <w:p w:rsidR="0092218D" w:rsidRPr="00F54924" w:rsidRDefault="0092218D" w:rsidP="00F54924">
      <w:pPr>
        <w:spacing w:line="276" w:lineRule="auto"/>
        <w:ind w:left="454" w:right="454"/>
        <w:jc w:val="both"/>
        <w:rPr>
          <w:rFonts w:ascii="Arial" w:hAnsi="Arial" w:cs="Arial"/>
          <w:lang w:val="en-GB"/>
        </w:rPr>
      </w:pPr>
    </w:p>
    <w:p w:rsidR="0092218D" w:rsidRPr="00F54924" w:rsidRDefault="0092218D" w:rsidP="00F54924">
      <w:pPr>
        <w:spacing w:line="276" w:lineRule="auto"/>
        <w:ind w:left="454" w:right="454"/>
        <w:jc w:val="both"/>
        <w:rPr>
          <w:rFonts w:ascii="Arial" w:hAnsi="Arial" w:cs="Arial"/>
          <w:lang w:val="en-GB"/>
        </w:rPr>
      </w:pPr>
      <w:r w:rsidRPr="00F54924">
        <w:rPr>
          <w:rFonts w:ascii="Arial" w:hAnsi="Arial" w:cs="Arial"/>
          <w:lang w:val="en-GB"/>
        </w:rPr>
        <w:t xml:space="preserve">HCI 111 Commissioner is a property holding special-purpose vehicle that is controlled by HCI Limited. The HCI Group holds interests in various industries including hotel and leisure, interactive gaming, media and broadcasting, transport, mining, clothing and the property sector. Relevant to this transaction is the HCI Group’s property portfolio. </w:t>
      </w:r>
    </w:p>
    <w:p w:rsidR="0092218D" w:rsidRPr="00F54924" w:rsidRDefault="0092218D" w:rsidP="00F54924">
      <w:pPr>
        <w:spacing w:line="276" w:lineRule="auto"/>
        <w:ind w:left="454" w:right="454"/>
        <w:jc w:val="both"/>
        <w:rPr>
          <w:rFonts w:ascii="Arial" w:hAnsi="Arial" w:cs="Arial"/>
          <w:lang w:val="en-GB"/>
        </w:rPr>
      </w:pPr>
    </w:p>
    <w:p w:rsidR="0092218D" w:rsidRPr="00F54924" w:rsidRDefault="0092218D" w:rsidP="00F54924">
      <w:pPr>
        <w:spacing w:line="276" w:lineRule="auto"/>
        <w:ind w:left="454" w:right="454"/>
        <w:jc w:val="both"/>
        <w:rPr>
          <w:rFonts w:ascii="Arial" w:hAnsi="Arial" w:cs="Arial"/>
          <w:lang w:val="en-GB"/>
        </w:rPr>
      </w:pPr>
      <w:r w:rsidRPr="00F54924">
        <w:rPr>
          <w:rFonts w:ascii="Arial" w:hAnsi="Arial" w:cs="Arial"/>
          <w:lang w:val="en-GB"/>
        </w:rPr>
        <w:t>The primary target firm is the property letting enterprise known as 111 Commissioner Street, a multi-storey building located at 111 Commissioner Street, Johannesburg CBD, Gauteng. It comprises rentable Grade B office space as well as street level retail space. 111 Commissioner Street is currently managed by Redefine, a property investment firm and real estate investment trust.</w:t>
      </w:r>
    </w:p>
    <w:p w:rsidR="0092218D" w:rsidRPr="00F54924" w:rsidRDefault="0092218D" w:rsidP="00F54924">
      <w:pPr>
        <w:spacing w:line="276" w:lineRule="auto"/>
        <w:ind w:left="454" w:right="454"/>
        <w:jc w:val="both"/>
        <w:rPr>
          <w:rFonts w:ascii="Arial" w:hAnsi="Arial" w:cs="Arial"/>
          <w:lang w:val="en-GB"/>
        </w:rPr>
      </w:pPr>
    </w:p>
    <w:p w:rsidR="0092218D" w:rsidRPr="00F54924" w:rsidRDefault="0092218D" w:rsidP="00F54924">
      <w:pPr>
        <w:spacing w:line="276" w:lineRule="auto"/>
        <w:ind w:left="454" w:right="454"/>
        <w:jc w:val="both"/>
        <w:rPr>
          <w:rFonts w:ascii="Arial" w:hAnsi="Arial" w:cs="Arial"/>
          <w:lang w:val="en-GB"/>
        </w:rPr>
      </w:pPr>
      <w:r w:rsidRPr="00F54924">
        <w:rPr>
          <w:rFonts w:ascii="Arial" w:hAnsi="Arial" w:cs="Arial"/>
          <w:lang w:val="en-US"/>
        </w:rPr>
        <w:t xml:space="preserve">The </w:t>
      </w:r>
      <w:r w:rsidR="00ED1028" w:rsidRPr="00F54924">
        <w:rPr>
          <w:rFonts w:ascii="Arial" w:hAnsi="Arial" w:cs="Arial"/>
          <w:lang w:val="en-US"/>
        </w:rPr>
        <w:t xml:space="preserve">Tribunal has approved the transaction without conditions. </w:t>
      </w:r>
    </w:p>
    <w:p w:rsidR="0092218D" w:rsidRPr="00F54924" w:rsidRDefault="0092218D" w:rsidP="00F54924">
      <w:pPr>
        <w:ind w:left="454" w:right="454"/>
        <w:rPr>
          <w:rFonts w:ascii="Arial" w:hAnsi="Arial" w:cs="Arial"/>
          <w:color w:val="1F497D"/>
        </w:rPr>
      </w:pPr>
    </w:p>
    <w:p w:rsidR="00EB74B3" w:rsidRPr="00F54924" w:rsidRDefault="002A4ABB" w:rsidP="00F54924">
      <w:pPr>
        <w:autoSpaceDE w:val="0"/>
        <w:autoSpaceDN w:val="0"/>
        <w:spacing w:line="276" w:lineRule="auto"/>
        <w:ind w:left="454" w:right="454"/>
        <w:jc w:val="both"/>
        <w:rPr>
          <w:rFonts w:ascii="Arial" w:hAnsi="Arial" w:cs="Arial"/>
          <w:b/>
          <w:bCs/>
          <w:lang w:val="en-GB"/>
        </w:rPr>
      </w:pPr>
      <w:r w:rsidRPr="00F54924">
        <w:rPr>
          <w:rFonts w:ascii="Arial" w:hAnsi="Arial" w:cs="Arial"/>
          <w:b/>
          <w:bCs/>
          <w:lang w:val="en-GB"/>
        </w:rPr>
        <w:t>Bearing Man Group</w:t>
      </w:r>
      <w:r w:rsidR="00860E9C" w:rsidRPr="00F54924">
        <w:rPr>
          <w:rFonts w:ascii="Arial" w:hAnsi="Arial" w:cs="Arial"/>
          <w:b/>
          <w:bCs/>
          <w:lang w:val="en-GB"/>
        </w:rPr>
        <w:t xml:space="preserve"> has been</w:t>
      </w:r>
      <w:r w:rsidRPr="00F54924">
        <w:rPr>
          <w:rFonts w:ascii="Arial" w:hAnsi="Arial" w:cs="Arial"/>
          <w:b/>
          <w:bCs/>
          <w:lang w:val="en-GB"/>
        </w:rPr>
        <w:t xml:space="preserve"> given approval to</w:t>
      </w:r>
      <w:r w:rsidR="00EB74B3" w:rsidRPr="00F54924">
        <w:rPr>
          <w:rFonts w:ascii="Arial" w:hAnsi="Arial" w:cs="Arial"/>
          <w:b/>
          <w:bCs/>
          <w:lang w:val="en-GB"/>
        </w:rPr>
        <w:t xml:space="preserve"> acquire </w:t>
      </w:r>
      <w:proofErr w:type="spellStart"/>
      <w:r w:rsidR="00EB74B3" w:rsidRPr="00F54924">
        <w:rPr>
          <w:rFonts w:ascii="Arial" w:hAnsi="Arial" w:cs="Arial"/>
          <w:b/>
          <w:bCs/>
          <w:lang w:val="en-GB"/>
        </w:rPr>
        <w:t>Fenner</w:t>
      </w:r>
      <w:proofErr w:type="spellEnd"/>
      <w:r w:rsidR="00EB74B3" w:rsidRPr="00F54924">
        <w:rPr>
          <w:rFonts w:ascii="Arial" w:hAnsi="Arial" w:cs="Arial"/>
          <w:b/>
          <w:bCs/>
          <w:lang w:val="en-GB"/>
        </w:rPr>
        <w:t xml:space="preserve"> sales and service business and distribution rights of Fenner Conveyor Belting </w:t>
      </w:r>
    </w:p>
    <w:p w:rsidR="00EB74B3" w:rsidRPr="00F54924" w:rsidRDefault="00EB74B3" w:rsidP="00F54924">
      <w:pPr>
        <w:autoSpaceDE w:val="0"/>
        <w:autoSpaceDN w:val="0"/>
        <w:spacing w:line="276" w:lineRule="auto"/>
        <w:ind w:left="454" w:right="454" w:hanging="851"/>
        <w:jc w:val="both"/>
        <w:rPr>
          <w:rFonts w:ascii="Arial" w:hAnsi="Arial" w:cs="Arial"/>
          <w:b/>
          <w:bCs/>
          <w:lang w:val="en-US"/>
        </w:rPr>
      </w:pPr>
    </w:p>
    <w:p w:rsidR="00EB74B3" w:rsidRPr="00F54924" w:rsidRDefault="00EB74B3" w:rsidP="00F54924">
      <w:pPr>
        <w:spacing w:line="276" w:lineRule="auto"/>
        <w:ind w:left="454" w:right="454"/>
        <w:jc w:val="both"/>
        <w:rPr>
          <w:rFonts w:ascii="Arial" w:hAnsi="Arial" w:cs="Arial"/>
          <w:lang w:val="en-GB"/>
        </w:rPr>
      </w:pPr>
      <w:r w:rsidRPr="00F54924">
        <w:rPr>
          <w:rFonts w:ascii="Arial" w:hAnsi="Arial" w:cs="Arial"/>
          <w:lang w:val="en-GB"/>
        </w:rPr>
        <w:t xml:space="preserve">Bearing Man Group (Pty) Ltd (BMG), controlled by JSE listed Invicta Holdings Limited, </w:t>
      </w:r>
      <w:r w:rsidR="00860E9C" w:rsidRPr="00F54924">
        <w:rPr>
          <w:rFonts w:ascii="Arial" w:hAnsi="Arial" w:cs="Arial"/>
          <w:lang w:val="en-GB"/>
        </w:rPr>
        <w:t xml:space="preserve">will </w:t>
      </w:r>
      <w:r w:rsidRPr="00F54924">
        <w:rPr>
          <w:rFonts w:ascii="Arial" w:hAnsi="Arial" w:cs="Arial"/>
          <w:lang w:val="en-GB"/>
        </w:rPr>
        <w:t xml:space="preserve">acquire the </w:t>
      </w:r>
      <w:proofErr w:type="spellStart"/>
      <w:r w:rsidRPr="00F54924">
        <w:rPr>
          <w:rFonts w:ascii="Arial" w:hAnsi="Arial" w:cs="Arial"/>
          <w:lang w:val="en-GB"/>
        </w:rPr>
        <w:t>Fenner</w:t>
      </w:r>
      <w:proofErr w:type="spellEnd"/>
      <w:r w:rsidRPr="00F54924">
        <w:rPr>
          <w:rFonts w:ascii="Arial" w:hAnsi="Arial" w:cs="Arial"/>
          <w:lang w:val="en-GB"/>
        </w:rPr>
        <w:t xml:space="preserve"> sales and service business as well as certain distribution rights (target businesses) from Fenner Conveyor Belting (Pty) Ltd (Fenner) as a going concern.</w:t>
      </w:r>
    </w:p>
    <w:p w:rsidR="00EB74B3" w:rsidRPr="00F54924" w:rsidRDefault="00EB74B3" w:rsidP="00F54924">
      <w:pPr>
        <w:spacing w:line="276" w:lineRule="auto"/>
        <w:ind w:left="454" w:right="454"/>
        <w:jc w:val="both"/>
        <w:rPr>
          <w:rFonts w:ascii="Arial" w:hAnsi="Arial" w:cs="Arial"/>
          <w:lang w:val="en-GB"/>
        </w:rPr>
      </w:pPr>
    </w:p>
    <w:p w:rsidR="00EB74B3" w:rsidRPr="00F54924" w:rsidRDefault="00EB74B3" w:rsidP="00F54924">
      <w:pPr>
        <w:spacing w:line="276" w:lineRule="auto"/>
        <w:ind w:left="454" w:right="454"/>
        <w:jc w:val="both"/>
        <w:rPr>
          <w:rFonts w:ascii="Arial" w:hAnsi="Arial" w:cs="Arial"/>
          <w:lang w:val="en-GB"/>
        </w:rPr>
      </w:pPr>
      <w:r w:rsidRPr="00F54924">
        <w:rPr>
          <w:rFonts w:ascii="Arial" w:hAnsi="Arial" w:cs="Arial"/>
          <w:lang w:val="en-GB"/>
        </w:rPr>
        <w:t xml:space="preserve">BMG is a specialist distributor of numerous products such as bearings and belting used in the design, assembly maintenance and service of machinery in industrial plants. It supplies a range of belting products for light and heavy materials handling applications. BMG does not manufacture any conveyer belting products but imports them. </w:t>
      </w:r>
    </w:p>
    <w:p w:rsidR="00EB74B3" w:rsidRPr="00F54924" w:rsidRDefault="00EB74B3" w:rsidP="00F54924">
      <w:pPr>
        <w:spacing w:line="276" w:lineRule="auto"/>
        <w:ind w:left="454" w:right="454"/>
        <w:jc w:val="both"/>
        <w:rPr>
          <w:rFonts w:ascii="Arial" w:hAnsi="Arial" w:cs="Arial"/>
          <w:lang w:val="en-GB"/>
        </w:rPr>
      </w:pPr>
    </w:p>
    <w:p w:rsidR="00EB74B3" w:rsidRPr="00F54924" w:rsidRDefault="00EB74B3" w:rsidP="00F54924">
      <w:pPr>
        <w:spacing w:line="276" w:lineRule="auto"/>
        <w:ind w:left="454" w:right="454"/>
        <w:jc w:val="both"/>
        <w:rPr>
          <w:rFonts w:ascii="Arial" w:hAnsi="Arial" w:cs="Arial"/>
          <w:lang w:val="en-GB"/>
        </w:rPr>
      </w:pPr>
      <w:r w:rsidRPr="00F54924">
        <w:rPr>
          <w:rFonts w:ascii="Arial" w:hAnsi="Arial" w:cs="Arial"/>
          <w:lang w:val="en-GB"/>
        </w:rPr>
        <w:t xml:space="preserve">The target businesses are active in the sale, servicing and distribution of bulk/heavy material handling conveyor belting and ancillary products in South Africa. Fenner manufactures such products. In this transaction, the Target businesses only distributes and services heavy materials conveyor belts. </w:t>
      </w:r>
    </w:p>
    <w:p w:rsidR="00EB74B3" w:rsidRPr="00F54924" w:rsidRDefault="00EB74B3" w:rsidP="00F54924">
      <w:pPr>
        <w:spacing w:line="276" w:lineRule="auto"/>
        <w:ind w:left="454" w:right="454"/>
        <w:jc w:val="both"/>
        <w:rPr>
          <w:rFonts w:ascii="Arial" w:hAnsi="Arial" w:cs="Arial"/>
          <w:lang w:val="en-GB"/>
        </w:rPr>
      </w:pPr>
    </w:p>
    <w:p w:rsidR="00EB74B3" w:rsidRPr="00F54924" w:rsidRDefault="00EB74B3" w:rsidP="00F54924">
      <w:pPr>
        <w:spacing w:line="276" w:lineRule="auto"/>
        <w:ind w:left="454" w:right="454"/>
        <w:jc w:val="both"/>
        <w:rPr>
          <w:rFonts w:ascii="Arial" w:hAnsi="Arial" w:cs="Arial"/>
          <w:lang w:val="en-GB"/>
        </w:rPr>
      </w:pPr>
      <w:r w:rsidRPr="00F54924">
        <w:rPr>
          <w:rFonts w:ascii="Arial" w:hAnsi="Arial" w:cs="Arial"/>
          <w:lang w:val="en-GB"/>
        </w:rPr>
        <w:t xml:space="preserve">Relevant markets for this transaction is the supply and distribution of heavy material conveyor belts in SA and the market for supply of after sales services in SA. </w:t>
      </w:r>
    </w:p>
    <w:p w:rsidR="00EB74B3" w:rsidRPr="00F54924" w:rsidRDefault="00EB74B3" w:rsidP="00F54924">
      <w:pPr>
        <w:spacing w:line="276" w:lineRule="auto"/>
        <w:ind w:left="454" w:right="454"/>
        <w:jc w:val="both"/>
        <w:rPr>
          <w:rFonts w:ascii="Arial" w:hAnsi="Arial" w:cs="Arial"/>
          <w:lang w:val="en-GB"/>
        </w:rPr>
      </w:pPr>
    </w:p>
    <w:p w:rsidR="00EB74B3" w:rsidRPr="00F54924" w:rsidRDefault="00EB74B3" w:rsidP="00F54924">
      <w:pPr>
        <w:spacing w:line="276" w:lineRule="auto"/>
        <w:ind w:left="454" w:right="454"/>
        <w:jc w:val="both"/>
        <w:rPr>
          <w:rFonts w:ascii="Arial" w:hAnsi="Arial" w:cs="Arial"/>
          <w:lang w:val="en-GB"/>
        </w:rPr>
      </w:pPr>
      <w:r w:rsidRPr="00F54924">
        <w:rPr>
          <w:rFonts w:ascii="Arial" w:hAnsi="Arial" w:cs="Arial"/>
          <w:lang w:val="en-GB"/>
        </w:rPr>
        <w:t xml:space="preserve">The </w:t>
      </w:r>
      <w:r w:rsidR="00860E9C" w:rsidRPr="00F54924">
        <w:rPr>
          <w:rFonts w:ascii="Arial" w:hAnsi="Arial" w:cs="Arial"/>
          <w:lang w:val="en-GB"/>
        </w:rPr>
        <w:t xml:space="preserve">merger has been </w:t>
      </w:r>
      <w:r w:rsidRPr="00F54924">
        <w:rPr>
          <w:rFonts w:ascii="Arial" w:hAnsi="Arial" w:cs="Arial"/>
          <w:lang w:val="en-GB"/>
        </w:rPr>
        <w:t>approved without conditions.</w:t>
      </w:r>
    </w:p>
    <w:p w:rsidR="0061577F" w:rsidRPr="00F54924" w:rsidRDefault="0061577F" w:rsidP="00F54924">
      <w:pPr>
        <w:spacing w:line="276" w:lineRule="auto"/>
        <w:ind w:left="454" w:right="454"/>
        <w:jc w:val="both"/>
        <w:rPr>
          <w:rFonts w:ascii="Arial" w:hAnsi="Arial" w:cs="Arial"/>
          <w:lang w:val="en-GB"/>
        </w:rPr>
      </w:pPr>
    </w:p>
    <w:p w:rsidR="00EB74B3" w:rsidRPr="00F54924" w:rsidRDefault="00EB74B3" w:rsidP="00F54924">
      <w:pPr>
        <w:spacing w:line="276" w:lineRule="auto"/>
        <w:ind w:left="454" w:right="454"/>
        <w:jc w:val="both"/>
        <w:rPr>
          <w:rFonts w:ascii="Arial" w:hAnsi="Arial" w:cs="Arial"/>
          <w:b/>
          <w:lang w:val="en-GB"/>
        </w:rPr>
      </w:pPr>
      <w:r w:rsidRPr="00F54924">
        <w:rPr>
          <w:rFonts w:ascii="Arial" w:hAnsi="Arial" w:cs="Arial"/>
          <w:b/>
          <w:lang w:val="en-GB"/>
        </w:rPr>
        <w:t xml:space="preserve">Tribunal </w:t>
      </w:r>
      <w:r w:rsidR="00D41697" w:rsidRPr="00F54924">
        <w:rPr>
          <w:rFonts w:ascii="Arial" w:hAnsi="Arial" w:cs="Arial"/>
          <w:b/>
          <w:lang w:val="en-GB"/>
        </w:rPr>
        <w:t xml:space="preserve">confirms </w:t>
      </w:r>
      <w:r w:rsidR="00577E88" w:rsidRPr="00F54924">
        <w:rPr>
          <w:rFonts w:ascii="Arial" w:hAnsi="Arial" w:cs="Arial"/>
          <w:b/>
          <w:lang w:val="en-GB"/>
        </w:rPr>
        <w:t xml:space="preserve">R1 million penalty for </w:t>
      </w:r>
      <w:proofErr w:type="spellStart"/>
      <w:r w:rsidR="00577E88" w:rsidRPr="00F54924">
        <w:rPr>
          <w:rFonts w:ascii="Arial" w:hAnsi="Arial" w:cs="Arial"/>
          <w:b/>
          <w:lang w:val="en-GB"/>
        </w:rPr>
        <w:t>Evraz</w:t>
      </w:r>
      <w:proofErr w:type="spellEnd"/>
      <w:r w:rsidRPr="00F54924">
        <w:rPr>
          <w:rFonts w:ascii="Arial" w:hAnsi="Arial" w:cs="Arial"/>
          <w:b/>
          <w:lang w:val="en-GB"/>
        </w:rPr>
        <w:t xml:space="preserve"> Highveld Steel (Highveld) and Vanadium Limited</w:t>
      </w:r>
    </w:p>
    <w:p w:rsidR="00EB74B3" w:rsidRPr="00F54924" w:rsidRDefault="00EB74B3" w:rsidP="00F54924">
      <w:pPr>
        <w:spacing w:line="276" w:lineRule="auto"/>
        <w:ind w:left="454" w:right="454"/>
        <w:jc w:val="both"/>
        <w:rPr>
          <w:rFonts w:ascii="Arial" w:hAnsi="Arial" w:cs="Arial"/>
          <w:lang w:val="en-GB"/>
        </w:rPr>
      </w:pPr>
    </w:p>
    <w:p w:rsidR="00EB74B3" w:rsidRPr="00F54924" w:rsidRDefault="00D41697" w:rsidP="00F54924">
      <w:pPr>
        <w:spacing w:line="276" w:lineRule="auto"/>
        <w:ind w:left="454" w:right="454"/>
        <w:jc w:val="both"/>
        <w:rPr>
          <w:rFonts w:ascii="Arial" w:hAnsi="Arial" w:cs="Arial"/>
          <w:lang w:val="en-GB"/>
        </w:rPr>
      </w:pPr>
      <w:r w:rsidRPr="00F54924">
        <w:rPr>
          <w:rFonts w:ascii="Arial" w:hAnsi="Arial" w:cs="Arial"/>
          <w:lang w:val="en-GB"/>
        </w:rPr>
        <w:t xml:space="preserve">The Tribunal has confirmed the R1 million administrative penalty to be paid by </w:t>
      </w:r>
      <w:proofErr w:type="spellStart"/>
      <w:r w:rsidR="00577E88" w:rsidRPr="00F54924">
        <w:rPr>
          <w:rFonts w:ascii="Arial" w:hAnsi="Arial" w:cs="Arial"/>
          <w:lang w:val="en-GB"/>
        </w:rPr>
        <w:t>Evraz</w:t>
      </w:r>
      <w:proofErr w:type="spellEnd"/>
      <w:r w:rsidR="00EB74B3" w:rsidRPr="00F54924">
        <w:rPr>
          <w:rFonts w:ascii="Arial" w:hAnsi="Arial" w:cs="Arial"/>
          <w:lang w:val="en-GB"/>
        </w:rPr>
        <w:t xml:space="preserve"> Highveld Steel</w:t>
      </w:r>
      <w:r w:rsidR="00577E88" w:rsidRPr="00F54924">
        <w:rPr>
          <w:rFonts w:ascii="Arial" w:hAnsi="Arial" w:cs="Arial"/>
          <w:lang w:val="en-GB"/>
        </w:rPr>
        <w:t xml:space="preserve"> (Highveld)</w:t>
      </w:r>
      <w:r w:rsidR="00EB74B3" w:rsidRPr="00F54924">
        <w:rPr>
          <w:rFonts w:ascii="Arial" w:hAnsi="Arial" w:cs="Arial"/>
          <w:lang w:val="en-GB"/>
        </w:rPr>
        <w:t xml:space="preserve"> for conduct amounting to price fixing and market allocation with ArcelorMittal South Africa Limited (AMSA). Highveld is presently under business rescue. </w:t>
      </w:r>
    </w:p>
    <w:p w:rsidR="00EB74B3" w:rsidRPr="00F54924" w:rsidRDefault="00EB74B3" w:rsidP="00F54924">
      <w:pPr>
        <w:spacing w:line="276" w:lineRule="auto"/>
        <w:ind w:left="454" w:right="454"/>
        <w:jc w:val="both"/>
        <w:rPr>
          <w:rFonts w:ascii="Arial" w:hAnsi="Arial" w:cs="Arial"/>
          <w:lang w:val="en-GB"/>
        </w:rPr>
      </w:pPr>
    </w:p>
    <w:p w:rsidR="00EB74B3" w:rsidRPr="00F54924" w:rsidRDefault="00EB74B3" w:rsidP="00F54924">
      <w:pPr>
        <w:spacing w:line="276" w:lineRule="auto"/>
        <w:ind w:left="454" w:right="454"/>
        <w:contextualSpacing/>
        <w:jc w:val="both"/>
        <w:rPr>
          <w:rFonts w:ascii="Arial" w:hAnsi="Arial" w:cs="Arial"/>
        </w:rPr>
      </w:pPr>
      <w:r w:rsidRPr="00F54924">
        <w:rPr>
          <w:rFonts w:ascii="Arial" w:hAnsi="Arial" w:cs="Arial"/>
        </w:rPr>
        <w:t xml:space="preserve">In April 2008, the Commission initiated an investigation against flat steel producers Highveld and AMSA. The Commission found that during the period 1999 and 2009, AMSA and Highveld had an understanding in terms of which Highveld would follow AMSA’s lead on pricing in the flat steel market. </w:t>
      </w:r>
    </w:p>
    <w:p w:rsidR="00EB74B3" w:rsidRPr="00F54924" w:rsidRDefault="00EB74B3" w:rsidP="00F54924">
      <w:pPr>
        <w:spacing w:line="276" w:lineRule="auto"/>
        <w:ind w:left="454" w:right="454"/>
        <w:contextualSpacing/>
        <w:jc w:val="both"/>
        <w:rPr>
          <w:rFonts w:ascii="Arial" w:hAnsi="Arial" w:cs="Arial"/>
        </w:rPr>
      </w:pPr>
    </w:p>
    <w:p w:rsidR="00EB74B3" w:rsidRPr="00F54924" w:rsidRDefault="00EB74B3" w:rsidP="00F54924">
      <w:pPr>
        <w:spacing w:line="276" w:lineRule="auto"/>
        <w:ind w:left="454" w:right="454"/>
        <w:contextualSpacing/>
        <w:jc w:val="both"/>
        <w:rPr>
          <w:rFonts w:ascii="Arial" w:hAnsi="Arial" w:cs="Arial"/>
        </w:rPr>
      </w:pPr>
      <w:r w:rsidRPr="00F54924">
        <w:rPr>
          <w:rFonts w:ascii="Arial" w:hAnsi="Arial" w:cs="Arial"/>
        </w:rPr>
        <w:t xml:space="preserve">The Commission also found that AMSA and Highveld through the South African Iron and Steel Association export monitoring subcommittee reached an understanding of volumes of flat steel products that each of them exported to different companies they defined as sensitive.  </w:t>
      </w:r>
    </w:p>
    <w:p w:rsidR="00EB74B3" w:rsidRPr="00F54924" w:rsidRDefault="00EB74B3" w:rsidP="00F54924">
      <w:pPr>
        <w:spacing w:line="276" w:lineRule="auto"/>
        <w:ind w:left="454" w:right="454"/>
        <w:contextualSpacing/>
        <w:jc w:val="both"/>
        <w:rPr>
          <w:rFonts w:ascii="Arial" w:hAnsi="Arial" w:cs="Arial"/>
        </w:rPr>
      </w:pPr>
    </w:p>
    <w:p w:rsidR="00EB74B3" w:rsidRPr="00F54924" w:rsidRDefault="00EB74B3" w:rsidP="00F54924">
      <w:pPr>
        <w:spacing w:line="276" w:lineRule="auto"/>
        <w:ind w:left="454" w:right="454"/>
        <w:contextualSpacing/>
        <w:jc w:val="both"/>
        <w:rPr>
          <w:rFonts w:ascii="Arial" w:hAnsi="Arial" w:cs="Arial"/>
        </w:rPr>
      </w:pPr>
      <w:r w:rsidRPr="00F54924">
        <w:rPr>
          <w:rFonts w:ascii="Arial" w:hAnsi="Arial" w:cs="Arial"/>
        </w:rPr>
        <w:t xml:space="preserve">This conduct, on the Commission’s conclusion, constituted price fixing and market allocation in contravention of the Competition Act. On 30 March 2012, the Commission referred a complaint against AMSA and Highveld to the Tribunal. </w:t>
      </w:r>
    </w:p>
    <w:p w:rsidR="00EB74B3" w:rsidRPr="00F54924" w:rsidRDefault="00EB74B3" w:rsidP="00F54924">
      <w:pPr>
        <w:spacing w:line="276" w:lineRule="auto"/>
        <w:ind w:left="454" w:right="454"/>
        <w:contextualSpacing/>
        <w:jc w:val="both"/>
        <w:rPr>
          <w:rFonts w:ascii="Arial" w:hAnsi="Arial" w:cs="Arial"/>
        </w:rPr>
      </w:pPr>
    </w:p>
    <w:p w:rsidR="00D41697" w:rsidRPr="00F54924" w:rsidRDefault="00EB74B3" w:rsidP="00F54924">
      <w:pPr>
        <w:spacing w:line="276" w:lineRule="auto"/>
        <w:ind w:left="454" w:right="454"/>
        <w:contextualSpacing/>
        <w:jc w:val="both"/>
        <w:rPr>
          <w:rFonts w:ascii="Arial" w:hAnsi="Arial" w:cs="Arial"/>
        </w:rPr>
      </w:pPr>
      <w:r w:rsidRPr="00F54924">
        <w:rPr>
          <w:rFonts w:ascii="Arial" w:hAnsi="Arial" w:cs="Arial"/>
        </w:rPr>
        <w:t>In terms of the consent agreement, Highveld admits that it provided monthly sales volumes in respect of flat steel products to SAISI, which information was shared by SAISI with AMSA, and that Highveld received similar information regarding AMSA, but does not admit that its admitted conduct constitutes a contravention of the Competition Act.</w:t>
      </w:r>
      <w:r w:rsidR="00D41697" w:rsidRPr="00F54924">
        <w:rPr>
          <w:rFonts w:ascii="Arial" w:hAnsi="Arial" w:cs="Arial"/>
        </w:rPr>
        <w:t xml:space="preserve"> The intention of the settlement is to clear any complaints against Highveld which would otherwise discourage buyers. </w:t>
      </w:r>
    </w:p>
    <w:p w:rsidR="00D41697" w:rsidRPr="00F54924" w:rsidRDefault="00D41697" w:rsidP="00F54924">
      <w:pPr>
        <w:spacing w:line="276" w:lineRule="auto"/>
        <w:ind w:left="454" w:right="454"/>
        <w:contextualSpacing/>
        <w:jc w:val="both"/>
        <w:rPr>
          <w:rFonts w:ascii="Arial" w:hAnsi="Arial" w:cs="Arial"/>
        </w:rPr>
      </w:pPr>
    </w:p>
    <w:p w:rsidR="00D41697" w:rsidRPr="00F54924" w:rsidRDefault="00D41697" w:rsidP="00F54924">
      <w:pPr>
        <w:ind w:left="454" w:right="454"/>
        <w:rPr>
          <w:rFonts w:ascii="Arial" w:hAnsi="Arial" w:cs="Arial"/>
          <w:lang w:val="en-GB"/>
        </w:rPr>
      </w:pPr>
      <w:r w:rsidRPr="00F54924">
        <w:rPr>
          <w:rFonts w:ascii="Arial" w:eastAsia="Times New Roman" w:hAnsi="Arial" w:cs="Arial"/>
          <w:color w:val="000000"/>
        </w:rPr>
        <w:t xml:space="preserve">This is the full and final settlement and concludes all proceedings between the Commission and Highveld. </w:t>
      </w:r>
    </w:p>
    <w:p w:rsidR="00D41697" w:rsidRPr="00F54924" w:rsidRDefault="00D41697" w:rsidP="00F54924">
      <w:pPr>
        <w:spacing w:line="276" w:lineRule="auto"/>
        <w:ind w:left="454" w:right="454"/>
        <w:contextualSpacing/>
        <w:jc w:val="both"/>
        <w:rPr>
          <w:rFonts w:ascii="Arial" w:hAnsi="Arial" w:cs="Arial"/>
        </w:rPr>
      </w:pPr>
    </w:p>
    <w:p w:rsidR="00EB74B3" w:rsidRPr="00F54924" w:rsidRDefault="00EB74B3" w:rsidP="00F54924">
      <w:pPr>
        <w:spacing w:line="276" w:lineRule="auto"/>
        <w:ind w:left="454" w:right="454"/>
        <w:rPr>
          <w:rFonts w:ascii="Arial" w:eastAsia="Times New Roman" w:hAnsi="Arial" w:cs="Arial"/>
          <w:color w:val="000000"/>
        </w:rPr>
      </w:pPr>
      <w:r w:rsidRPr="00F54924">
        <w:rPr>
          <w:rFonts w:ascii="Arial" w:hAnsi="Arial" w:cs="Arial"/>
          <w:lang w:val="en-GB"/>
        </w:rPr>
        <w:t>In November 2</w:t>
      </w:r>
      <w:r w:rsidR="006F60BE" w:rsidRPr="00F54924">
        <w:rPr>
          <w:rFonts w:ascii="Arial" w:hAnsi="Arial" w:cs="Arial"/>
          <w:lang w:val="en-GB"/>
        </w:rPr>
        <w:t>016 the Tribunal confirmed R1</w:t>
      </w:r>
      <w:r w:rsidR="00F46869" w:rsidRPr="00F54924">
        <w:rPr>
          <w:rFonts w:ascii="Arial" w:hAnsi="Arial" w:cs="Arial"/>
          <w:lang w:val="en-GB"/>
        </w:rPr>
        <w:t>, 5</w:t>
      </w:r>
      <w:r w:rsidRPr="00F54924">
        <w:rPr>
          <w:rFonts w:ascii="Arial" w:hAnsi="Arial" w:cs="Arial"/>
          <w:lang w:val="en-GB"/>
        </w:rPr>
        <w:t xml:space="preserve"> billion settlement involving </w:t>
      </w:r>
      <w:r w:rsidRPr="00F54924">
        <w:rPr>
          <w:rFonts w:ascii="Arial" w:eastAsia="Times New Roman" w:hAnsi="Arial" w:cs="Arial"/>
          <w:color w:val="000000"/>
        </w:rPr>
        <w:t>Arc</w:t>
      </w:r>
      <w:r w:rsidR="00D41697" w:rsidRPr="00F54924">
        <w:rPr>
          <w:rFonts w:ascii="Arial" w:eastAsia="Times New Roman" w:hAnsi="Arial" w:cs="Arial"/>
          <w:color w:val="000000"/>
        </w:rPr>
        <w:t xml:space="preserve">elorMittal South Africa </w:t>
      </w:r>
      <w:proofErr w:type="gramStart"/>
      <w:r w:rsidR="00D41697" w:rsidRPr="00F54924">
        <w:rPr>
          <w:rFonts w:ascii="Arial" w:eastAsia="Times New Roman" w:hAnsi="Arial" w:cs="Arial"/>
          <w:color w:val="000000"/>
        </w:rPr>
        <w:t>Limited</w:t>
      </w:r>
      <w:proofErr w:type="gramEnd"/>
      <w:r w:rsidR="00D41697" w:rsidRPr="00F54924">
        <w:rPr>
          <w:rFonts w:ascii="Arial" w:eastAsia="Times New Roman" w:hAnsi="Arial" w:cs="Arial"/>
          <w:color w:val="000000"/>
        </w:rPr>
        <w:t xml:space="preserve"> for the contravention involving Highveld and involving a number of other contraventions.</w:t>
      </w:r>
      <w:r w:rsidRPr="00F54924">
        <w:rPr>
          <w:rFonts w:ascii="Arial" w:eastAsia="Times New Roman" w:hAnsi="Arial" w:cs="Arial"/>
          <w:color w:val="000000"/>
        </w:rPr>
        <w:t xml:space="preserve"> In terms of the agreement, A</w:t>
      </w:r>
      <w:r w:rsidR="006F60BE" w:rsidRPr="00F54924">
        <w:rPr>
          <w:rFonts w:ascii="Arial" w:eastAsia="Times New Roman" w:hAnsi="Arial" w:cs="Arial"/>
          <w:color w:val="000000"/>
        </w:rPr>
        <w:t>r</w:t>
      </w:r>
      <w:r w:rsidRPr="00F54924">
        <w:rPr>
          <w:rFonts w:ascii="Arial" w:eastAsia="Times New Roman" w:hAnsi="Arial" w:cs="Arial"/>
          <w:color w:val="000000"/>
        </w:rPr>
        <w:t xml:space="preserve">celorMittal admitted having been involved in the long steel and scrap metal cartels. </w:t>
      </w:r>
    </w:p>
    <w:p w:rsidR="00EB74B3" w:rsidRPr="00F54924" w:rsidRDefault="00EB74B3" w:rsidP="00F54924">
      <w:pPr>
        <w:ind w:left="454" w:right="454"/>
        <w:rPr>
          <w:rFonts w:ascii="Arial" w:eastAsia="Times New Roman" w:hAnsi="Arial" w:cs="Arial"/>
          <w:color w:val="000000"/>
        </w:rPr>
      </w:pPr>
    </w:p>
    <w:p w:rsidR="00EB74B3" w:rsidRPr="00F54924" w:rsidRDefault="00EB74B3" w:rsidP="00F54924">
      <w:pPr>
        <w:ind w:left="454" w:right="454"/>
        <w:rPr>
          <w:rFonts w:ascii="Arial" w:eastAsia="Times New Roman" w:hAnsi="Arial" w:cs="Arial"/>
          <w:color w:val="000000"/>
        </w:rPr>
      </w:pPr>
      <w:r w:rsidRPr="00F54924">
        <w:rPr>
          <w:rFonts w:ascii="Arial" w:eastAsia="Times New Roman" w:hAnsi="Arial" w:cs="Arial"/>
          <w:color w:val="000000"/>
        </w:rPr>
        <w:t>In addition, A</w:t>
      </w:r>
      <w:r w:rsidR="006F60BE" w:rsidRPr="00F54924">
        <w:rPr>
          <w:rFonts w:ascii="Arial" w:eastAsia="Times New Roman" w:hAnsi="Arial" w:cs="Arial"/>
          <w:color w:val="000000"/>
        </w:rPr>
        <w:t>r</w:t>
      </w:r>
      <w:r w:rsidRPr="00F54924">
        <w:rPr>
          <w:rFonts w:ascii="Arial" w:eastAsia="Times New Roman" w:hAnsi="Arial" w:cs="Arial"/>
          <w:color w:val="000000"/>
        </w:rPr>
        <w:t xml:space="preserve">celorMittal committed to a R4.6 billion capital expenditure over the next five years. </w:t>
      </w:r>
    </w:p>
    <w:p w:rsidR="00D41697" w:rsidRPr="00F54924" w:rsidRDefault="00D41697" w:rsidP="00F54924">
      <w:pPr>
        <w:ind w:left="454" w:right="454"/>
        <w:rPr>
          <w:rFonts w:ascii="Arial" w:eastAsia="Times New Roman" w:hAnsi="Arial" w:cs="Arial"/>
          <w:color w:val="000000"/>
        </w:rPr>
      </w:pPr>
    </w:p>
    <w:p w:rsidR="00F47E50" w:rsidRPr="00F54924" w:rsidRDefault="00F47E50" w:rsidP="00F54924">
      <w:pPr>
        <w:spacing w:line="276" w:lineRule="auto"/>
        <w:ind w:left="454" w:right="454"/>
        <w:jc w:val="both"/>
        <w:rPr>
          <w:rFonts w:ascii="Arial" w:hAnsi="Arial" w:cs="Arial"/>
          <w:b/>
          <w:bCs/>
          <w:lang w:val="en-US"/>
        </w:rPr>
      </w:pPr>
      <w:r w:rsidRPr="00F54924">
        <w:rPr>
          <w:rFonts w:ascii="Arial" w:hAnsi="Arial" w:cs="Arial"/>
          <w:b/>
          <w:bCs/>
          <w:lang w:val="en-GB"/>
        </w:rPr>
        <w:t>Thebe Investment Corporation</w:t>
      </w:r>
      <w:r w:rsidR="00D41697" w:rsidRPr="00F54924">
        <w:rPr>
          <w:rFonts w:ascii="Arial" w:hAnsi="Arial" w:cs="Arial"/>
          <w:b/>
          <w:bCs/>
          <w:lang w:val="en-GB"/>
        </w:rPr>
        <w:t xml:space="preserve">’s </w:t>
      </w:r>
      <w:r w:rsidR="00CA3028" w:rsidRPr="00F54924">
        <w:rPr>
          <w:rFonts w:ascii="Arial" w:hAnsi="Arial" w:cs="Arial"/>
          <w:b/>
          <w:bCs/>
          <w:lang w:val="en-GB"/>
        </w:rPr>
        <w:t xml:space="preserve">merger with New Africa Investments </w:t>
      </w:r>
      <w:r w:rsidRPr="00F54924">
        <w:rPr>
          <w:rFonts w:ascii="Arial" w:hAnsi="Arial" w:cs="Arial"/>
          <w:b/>
          <w:bCs/>
          <w:lang w:val="en-GB"/>
        </w:rPr>
        <w:t xml:space="preserve">and Kaya FM </w:t>
      </w:r>
      <w:r w:rsidR="00D41697" w:rsidRPr="00F54924">
        <w:rPr>
          <w:rFonts w:ascii="Arial" w:hAnsi="Arial" w:cs="Arial"/>
          <w:b/>
          <w:bCs/>
          <w:lang w:val="en-GB"/>
        </w:rPr>
        <w:t>approved</w:t>
      </w:r>
    </w:p>
    <w:p w:rsidR="00EB74B3" w:rsidRPr="00F54924" w:rsidRDefault="00EB74B3" w:rsidP="00F54924">
      <w:pPr>
        <w:spacing w:line="276" w:lineRule="auto"/>
        <w:ind w:left="454" w:right="454" w:hanging="709"/>
        <w:jc w:val="both"/>
        <w:rPr>
          <w:rFonts w:ascii="Arial" w:hAnsi="Arial" w:cs="Arial"/>
          <w:b/>
          <w:bCs/>
          <w:lang w:val="en-US"/>
        </w:rPr>
      </w:pPr>
    </w:p>
    <w:p w:rsidR="00EB74B3" w:rsidRPr="00F54924" w:rsidRDefault="00D41697" w:rsidP="00F54924">
      <w:pPr>
        <w:spacing w:line="276" w:lineRule="auto"/>
        <w:ind w:left="454" w:right="454"/>
        <w:jc w:val="both"/>
        <w:rPr>
          <w:rFonts w:ascii="Arial" w:hAnsi="Arial" w:cs="Arial"/>
          <w:lang w:val="en-GB"/>
        </w:rPr>
      </w:pPr>
      <w:r w:rsidRPr="00F54924">
        <w:rPr>
          <w:rFonts w:ascii="Arial" w:hAnsi="Arial" w:cs="Arial"/>
          <w:lang w:val="en-GB"/>
        </w:rPr>
        <w:t xml:space="preserve">The Tribunal has approved the acquisition by </w:t>
      </w:r>
      <w:r w:rsidR="00EB74B3" w:rsidRPr="00F54924">
        <w:rPr>
          <w:rFonts w:ascii="Arial" w:hAnsi="Arial" w:cs="Arial"/>
          <w:lang w:val="en-GB"/>
        </w:rPr>
        <w:t xml:space="preserve">Thebe Investment Corporation (Pty) Ltd (TIC) </w:t>
      </w:r>
      <w:r w:rsidRPr="00F54924">
        <w:rPr>
          <w:rFonts w:ascii="Arial" w:hAnsi="Arial" w:cs="Arial"/>
          <w:lang w:val="en-GB"/>
        </w:rPr>
        <w:t xml:space="preserve">and </w:t>
      </w:r>
      <w:r w:rsidR="00EB74B3" w:rsidRPr="00F54924">
        <w:rPr>
          <w:rFonts w:ascii="Arial" w:hAnsi="Arial" w:cs="Arial"/>
          <w:lang w:val="en-GB"/>
        </w:rPr>
        <w:t>New Africa Investment Limited (NAIL), controlled by Prime Media (Pty) Ltd</w:t>
      </w:r>
      <w:r w:rsidRPr="00F54924">
        <w:rPr>
          <w:rFonts w:ascii="Arial" w:hAnsi="Arial" w:cs="Arial"/>
          <w:lang w:val="en-GB"/>
        </w:rPr>
        <w:t>,</w:t>
      </w:r>
      <w:r w:rsidR="00EB74B3" w:rsidRPr="00F54924">
        <w:rPr>
          <w:rFonts w:ascii="Arial" w:hAnsi="Arial" w:cs="Arial"/>
          <w:lang w:val="en-GB"/>
        </w:rPr>
        <w:t xml:space="preserve"> in order to increase its stake in Kaya FM (Pty) Ltd (Kaya FM).</w:t>
      </w:r>
      <w:r w:rsidRPr="00F54924">
        <w:rPr>
          <w:rFonts w:ascii="Arial" w:hAnsi="Arial" w:cs="Arial"/>
          <w:lang w:val="en-GB"/>
        </w:rPr>
        <w:t xml:space="preserve"> The merger was approved without conditions.</w:t>
      </w:r>
    </w:p>
    <w:p w:rsidR="00EB74B3" w:rsidRPr="00F54924" w:rsidRDefault="00EB74B3" w:rsidP="00F54924">
      <w:pPr>
        <w:spacing w:line="276" w:lineRule="auto"/>
        <w:ind w:left="454" w:right="454"/>
        <w:jc w:val="both"/>
        <w:rPr>
          <w:rFonts w:ascii="Arial" w:hAnsi="Arial" w:cs="Arial"/>
          <w:lang w:val="en-GB"/>
        </w:rPr>
      </w:pPr>
    </w:p>
    <w:p w:rsidR="00EB74B3" w:rsidRPr="00F54924" w:rsidRDefault="00EB74B3" w:rsidP="00F54924">
      <w:pPr>
        <w:spacing w:line="276" w:lineRule="auto"/>
        <w:ind w:left="454" w:right="454"/>
        <w:jc w:val="both"/>
        <w:rPr>
          <w:rFonts w:ascii="Arial" w:hAnsi="Arial" w:cs="Arial"/>
          <w:lang w:val="en-GB"/>
        </w:rPr>
      </w:pPr>
      <w:r w:rsidRPr="00F54924">
        <w:rPr>
          <w:rFonts w:ascii="Arial" w:hAnsi="Arial" w:cs="Arial"/>
          <w:lang w:val="en-GB"/>
        </w:rPr>
        <w:t xml:space="preserve">TIC is an investment company. It holds interests in companies that operate mainly in the following sectors: tourism, mining resources, infrastructure, renewable energy, petrochemicals, financial services and healthcare. </w:t>
      </w:r>
    </w:p>
    <w:p w:rsidR="00EB74B3" w:rsidRPr="00F54924" w:rsidRDefault="00EB74B3" w:rsidP="00F54924">
      <w:pPr>
        <w:spacing w:line="276" w:lineRule="auto"/>
        <w:ind w:left="454" w:right="454"/>
        <w:contextualSpacing/>
        <w:jc w:val="both"/>
        <w:rPr>
          <w:rFonts w:ascii="Arial" w:hAnsi="Arial" w:cs="Arial"/>
        </w:rPr>
      </w:pPr>
    </w:p>
    <w:p w:rsidR="00EB74B3" w:rsidRPr="00F54924" w:rsidRDefault="00EB74B3" w:rsidP="00F54924">
      <w:pPr>
        <w:spacing w:line="276" w:lineRule="auto"/>
        <w:ind w:left="454" w:right="454"/>
        <w:jc w:val="both"/>
        <w:rPr>
          <w:rFonts w:ascii="Arial" w:hAnsi="Arial" w:cs="Arial"/>
          <w:lang w:val="en-GB"/>
        </w:rPr>
      </w:pPr>
      <w:r w:rsidRPr="00F54924">
        <w:rPr>
          <w:rFonts w:ascii="Arial" w:hAnsi="Arial" w:cs="Arial"/>
          <w:lang w:val="en-GB"/>
        </w:rPr>
        <w:t xml:space="preserve">NAIL and Kaya FM are the primary target firms. NAIL is an investment holding company with investments only in Kaya FM. Kaya FM operates as a commercial radio station that broadcasts within the Gauteng area. The station broadcasts both talk and music content. </w:t>
      </w:r>
    </w:p>
    <w:p w:rsidR="00EB74B3" w:rsidRPr="00F54924" w:rsidRDefault="00EB74B3" w:rsidP="00F54924">
      <w:pPr>
        <w:spacing w:line="276" w:lineRule="auto"/>
        <w:ind w:left="454" w:right="454"/>
        <w:jc w:val="both"/>
        <w:rPr>
          <w:rFonts w:ascii="Arial" w:hAnsi="Arial" w:cs="Arial"/>
          <w:lang w:val="en-GB"/>
        </w:rPr>
      </w:pPr>
    </w:p>
    <w:p w:rsidR="00F47E50" w:rsidRPr="00F54924" w:rsidRDefault="00F47E50" w:rsidP="00F54924">
      <w:pPr>
        <w:autoSpaceDE w:val="0"/>
        <w:autoSpaceDN w:val="0"/>
        <w:spacing w:line="276" w:lineRule="auto"/>
        <w:ind w:left="454" w:right="454"/>
        <w:jc w:val="both"/>
        <w:rPr>
          <w:rFonts w:ascii="Arial" w:hAnsi="Arial" w:cs="Arial"/>
        </w:rPr>
      </w:pPr>
    </w:p>
    <w:p w:rsidR="0098797E" w:rsidRPr="00F54924" w:rsidRDefault="0098797E" w:rsidP="00F54924">
      <w:pPr>
        <w:ind w:left="454" w:right="454"/>
        <w:jc w:val="both"/>
        <w:rPr>
          <w:rFonts w:ascii="Arial" w:hAnsi="Arial" w:cs="Arial"/>
          <w:lang w:eastAsia="en-ZA"/>
        </w:rPr>
      </w:pPr>
      <w:r w:rsidRPr="00F54924">
        <w:rPr>
          <w:rFonts w:ascii="Arial" w:hAnsi="Arial" w:cs="Arial"/>
          <w:color w:val="000000"/>
          <w:lang w:eastAsia="en-ZA"/>
        </w:rPr>
        <w:t xml:space="preserve">Issued by: </w:t>
      </w:r>
    </w:p>
    <w:p w:rsidR="0098797E" w:rsidRPr="00F54924" w:rsidRDefault="0098797E" w:rsidP="00F54924">
      <w:pPr>
        <w:ind w:left="454" w:right="454"/>
        <w:jc w:val="both"/>
        <w:rPr>
          <w:rFonts w:ascii="Arial" w:hAnsi="Arial" w:cs="Arial"/>
          <w:color w:val="000000"/>
          <w:lang w:eastAsia="en-ZA"/>
        </w:rPr>
      </w:pPr>
      <w:r w:rsidRPr="00F54924">
        <w:rPr>
          <w:rFonts w:ascii="Arial" w:hAnsi="Arial" w:cs="Arial"/>
          <w:color w:val="000000"/>
          <w:lang w:eastAsia="en-ZA"/>
        </w:rPr>
        <w:t xml:space="preserve">Chantelle Benjamin </w:t>
      </w:r>
    </w:p>
    <w:p w:rsidR="0098797E" w:rsidRPr="00F54924" w:rsidRDefault="0098797E" w:rsidP="00F54924">
      <w:pPr>
        <w:ind w:left="454" w:right="454"/>
        <w:jc w:val="both"/>
        <w:rPr>
          <w:rFonts w:ascii="Arial" w:hAnsi="Arial" w:cs="Arial"/>
          <w:color w:val="000000"/>
          <w:lang w:eastAsia="en-ZA"/>
        </w:rPr>
      </w:pPr>
      <w:r w:rsidRPr="00F54924">
        <w:rPr>
          <w:rFonts w:ascii="Arial" w:hAnsi="Arial" w:cs="Arial"/>
          <w:color w:val="000000"/>
          <w:lang w:eastAsia="en-ZA"/>
        </w:rPr>
        <w:t>Communications: Competition Tribunal   </w:t>
      </w:r>
    </w:p>
    <w:p w:rsidR="0098797E" w:rsidRPr="00F54924" w:rsidRDefault="0098797E" w:rsidP="00F54924">
      <w:pPr>
        <w:ind w:left="454" w:right="454"/>
        <w:jc w:val="both"/>
        <w:rPr>
          <w:rFonts w:ascii="Arial" w:hAnsi="Arial" w:cs="Arial"/>
          <w:color w:val="000000"/>
          <w:lang w:eastAsia="en-ZA"/>
        </w:rPr>
      </w:pPr>
      <w:r w:rsidRPr="00F54924">
        <w:rPr>
          <w:rFonts w:ascii="Arial" w:hAnsi="Arial" w:cs="Arial"/>
          <w:color w:val="000000"/>
          <w:lang w:eastAsia="en-ZA"/>
        </w:rPr>
        <w:t xml:space="preserve">Tel (012)394 1383                                      </w:t>
      </w:r>
    </w:p>
    <w:p w:rsidR="0098797E" w:rsidRPr="00F54924" w:rsidRDefault="0098797E" w:rsidP="00F54924">
      <w:pPr>
        <w:ind w:left="454" w:right="454"/>
        <w:jc w:val="both"/>
        <w:rPr>
          <w:rFonts w:ascii="Arial" w:hAnsi="Arial" w:cs="Arial"/>
          <w:color w:val="000000"/>
          <w:lang w:eastAsia="en-ZA"/>
        </w:rPr>
      </w:pPr>
      <w:r w:rsidRPr="00F54924">
        <w:rPr>
          <w:rFonts w:ascii="Arial" w:hAnsi="Arial" w:cs="Arial"/>
          <w:color w:val="000000"/>
          <w:lang w:eastAsia="en-ZA"/>
        </w:rPr>
        <w:t>Cell: +27 (0) 73 007 5603  </w:t>
      </w:r>
    </w:p>
    <w:p w:rsidR="0098797E" w:rsidRPr="00F54924" w:rsidRDefault="0098797E" w:rsidP="00F54924">
      <w:pPr>
        <w:ind w:left="454" w:right="454"/>
        <w:jc w:val="both"/>
        <w:rPr>
          <w:rFonts w:ascii="Arial" w:hAnsi="Arial" w:cs="Arial"/>
          <w:lang w:eastAsia="en-ZA"/>
        </w:rPr>
      </w:pPr>
      <w:r w:rsidRPr="00F54924">
        <w:rPr>
          <w:rFonts w:ascii="Arial" w:hAnsi="Arial" w:cs="Arial"/>
          <w:color w:val="000000"/>
          <w:lang w:eastAsia="en-ZA"/>
        </w:rPr>
        <w:t xml:space="preserve">Twitter: @comptrib                                        </w:t>
      </w:r>
    </w:p>
    <w:p w:rsidR="0098797E" w:rsidRPr="00F54924" w:rsidRDefault="0098797E" w:rsidP="00F54924">
      <w:pPr>
        <w:ind w:left="454" w:right="454"/>
        <w:jc w:val="both"/>
        <w:rPr>
          <w:rFonts w:ascii="Arial" w:hAnsi="Arial" w:cs="Arial"/>
        </w:rPr>
      </w:pPr>
      <w:r w:rsidRPr="00F54924">
        <w:rPr>
          <w:rFonts w:ascii="Arial" w:hAnsi="Arial" w:cs="Arial"/>
          <w:color w:val="000000"/>
          <w:lang w:eastAsia="en-ZA"/>
        </w:rPr>
        <w:t xml:space="preserve">E-Mail: </w:t>
      </w:r>
      <w:hyperlink r:id="rId6" w:history="1">
        <w:r w:rsidRPr="00F54924">
          <w:rPr>
            <w:rStyle w:val="Hyperlink"/>
            <w:rFonts w:ascii="Arial" w:hAnsi="Arial" w:cs="Arial"/>
            <w:lang w:eastAsia="en-ZA"/>
          </w:rPr>
          <w:t>chantelleb@comptrib.co.za</w:t>
        </w:r>
      </w:hyperlink>
      <w:r w:rsidRPr="00F54924">
        <w:rPr>
          <w:rFonts w:ascii="Arial" w:hAnsi="Arial" w:cs="Arial"/>
        </w:rPr>
        <w:t xml:space="preserve"> </w:t>
      </w:r>
    </w:p>
    <w:p w:rsidR="0098797E" w:rsidRPr="00F54924" w:rsidRDefault="0098797E" w:rsidP="00F54924">
      <w:pPr>
        <w:ind w:left="454" w:right="454"/>
        <w:jc w:val="both"/>
        <w:rPr>
          <w:rFonts w:ascii="Arial" w:hAnsi="Arial" w:cs="Arial"/>
          <w:color w:val="000000"/>
        </w:rPr>
      </w:pPr>
    </w:p>
    <w:p w:rsidR="0098797E" w:rsidRPr="00F54924" w:rsidRDefault="0098797E" w:rsidP="00F54924">
      <w:pPr>
        <w:ind w:left="454" w:right="454"/>
        <w:jc w:val="both"/>
        <w:rPr>
          <w:rFonts w:ascii="Arial" w:hAnsi="Arial" w:cs="Arial"/>
          <w:color w:val="000000"/>
        </w:rPr>
      </w:pPr>
    </w:p>
    <w:p w:rsidR="0098797E" w:rsidRPr="00F54924" w:rsidRDefault="0098797E" w:rsidP="00F54924">
      <w:pPr>
        <w:ind w:left="454" w:right="454"/>
        <w:jc w:val="both"/>
        <w:rPr>
          <w:rFonts w:ascii="Arial" w:hAnsi="Arial" w:cs="Arial"/>
          <w:lang w:eastAsia="en-ZA"/>
        </w:rPr>
      </w:pPr>
      <w:r w:rsidRPr="00F54924">
        <w:rPr>
          <w:rFonts w:ascii="Arial" w:hAnsi="Arial" w:cs="Arial"/>
          <w:color w:val="000000"/>
          <w:lang w:eastAsia="en-ZA"/>
        </w:rPr>
        <w:t>On Behalf Of:</w:t>
      </w:r>
    </w:p>
    <w:p w:rsidR="0098797E" w:rsidRPr="00F54924" w:rsidRDefault="0098797E" w:rsidP="00F54924">
      <w:pPr>
        <w:ind w:left="454" w:right="454"/>
        <w:jc w:val="both"/>
        <w:rPr>
          <w:rFonts w:ascii="Arial" w:hAnsi="Arial" w:cs="Arial"/>
          <w:lang w:eastAsia="en-ZA"/>
        </w:rPr>
      </w:pPr>
      <w:r w:rsidRPr="00F54924">
        <w:rPr>
          <w:rFonts w:ascii="Arial" w:hAnsi="Arial" w:cs="Arial"/>
          <w:color w:val="000000"/>
          <w:lang w:eastAsia="en-ZA"/>
        </w:rPr>
        <w:t>Lerato Motaung                                                   </w:t>
      </w:r>
    </w:p>
    <w:p w:rsidR="0098797E" w:rsidRPr="00F54924" w:rsidRDefault="0098797E" w:rsidP="00F54924">
      <w:pPr>
        <w:ind w:left="454" w:right="454"/>
        <w:jc w:val="both"/>
        <w:rPr>
          <w:rFonts w:ascii="Arial" w:hAnsi="Arial" w:cs="Arial"/>
          <w:lang w:eastAsia="en-ZA"/>
        </w:rPr>
      </w:pPr>
      <w:r w:rsidRPr="00F54924">
        <w:rPr>
          <w:rFonts w:ascii="Arial" w:hAnsi="Arial" w:cs="Arial"/>
          <w:color w:val="000000"/>
          <w:lang w:eastAsia="en-ZA"/>
        </w:rPr>
        <w:t xml:space="preserve">Registrar: Competition Tribunal                                         </w:t>
      </w:r>
    </w:p>
    <w:p w:rsidR="0098797E" w:rsidRPr="00F54924" w:rsidRDefault="0098797E" w:rsidP="00F54924">
      <w:pPr>
        <w:ind w:left="454" w:right="454"/>
        <w:jc w:val="both"/>
        <w:rPr>
          <w:rFonts w:ascii="Arial" w:hAnsi="Arial" w:cs="Arial"/>
          <w:lang w:eastAsia="en-ZA"/>
        </w:rPr>
      </w:pPr>
      <w:r w:rsidRPr="00F54924">
        <w:rPr>
          <w:rFonts w:ascii="Arial" w:hAnsi="Arial" w:cs="Arial"/>
          <w:color w:val="000000"/>
          <w:lang w:eastAsia="en-ZA"/>
        </w:rPr>
        <w:t xml:space="preserve">Tel: (012) 394 3355                                              </w:t>
      </w:r>
    </w:p>
    <w:p w:rsidR="0098797E" w:rsidRPr="00F54924" w:rsidRDefault="0098797E" w:rsidP="00F54924">
      <w:pPr>
        <w:ind w:left="454" w:right="454"/>
        <w:jc w:val="both"/>
        <w:rPr>
          <w:rFonts w:ascii="Arial" w:hAnsi="Arial" w:cs="Arial"/>
          <w:lang w:eastAsia="en-ZA"/>
        </w:rPr>
      </w:pPr>
      <w:r w:rsidRPr="00F54924">
        <w:rPr>
          <w:rFonts w:ascii="Arial" w:hAnsi="Arial" w:cs="Arial"/>
          <w:color w:val="000000"/>
          <w:lang w:eastAsia="en-ZA"/>
        </w:rPr>
        <w:t xml:space="preserve">Cell: +27 (0) 82 556 3221                                               </w:t>
      </w:r>
    </w:p>
    <w:p w:rsidR="0098797E" w:rsidRPr="00F54924" w:rsidRDefault="0098797E" w:rsidP="00F54924">
      <w:pPr>
        <w:ind w:left="454" w:right="454"/>
        <w:jc w:val="both"/>
        <w:rPr>
          <w:rFonts w:ascii="Arial" w:hAnsi="Arial" w:cs="Arial"/>
        </w:rPr>
      </w:pPr>
      <w:r w:rsidRPr="00F54924">
        <w:rPr>
          <w:rFonts w:ascii="Arial" w:hAnsi="Arial" w:cs="Arial"/>
          <w:color w:val="000000"/>
          <w:lang w:eastAsia="en-ZA"/>
        </w:rPr>
        <w:t xml:space="preserve">E-Mail: </w:t>
      </w:r>
      <w:hyperlink r:id="rId7" w:history="1">
        <w:r w:rsidRPr="00F54924">
          <w:rPr>
            <w:rStyle w:val="Hyperlink"/>
            <w:rFonts w:ascii="Arial" w:hAnsi="Arial" w:cs="Arial"/>
            <w:lang w:eastAsia="en-ZA"/>
          </w:rPr>
          <w:t>LeratoM@comptrib.co.za</w:t>
        </w:r>
      </w:hyperlink>
    </w:p>
    <w:p w:rsidR="0098797E" w:rsidRDefault="0098797E" w:rsidP="00EB74B3">
      <w:pPr>
        <w:autoSpaceDE w:val="0"/>
        <w:autoSpaceDN w:val="0"/>
        <w:spacing w:line="276" w:lineRule="auto"/>
        <w:jc w:val="both"/>
      </w:pPr>
    </w:p>
    <w:sectPr w:rsidR="00987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83ED8"/>
    <w:multiLevelType w:val="hybridMultilevel"/>
    <w:tmpl w:val="AA6A589E"/>
    <w:lvl w:ilvl="0" w:tplc="22021590">
      <w:numFmt w:val="bullet"/>
      <w:lvlText w:val=""/>
      <w:lvlJc w:val="left"/>
      <w:pPr>
        <w:ind w:left="720" w:hanging="360"/>
      </w:pPr>
      <w:rPr>
        <w:rFonts w:ascii="Symbol" w:eastAsia="Calibr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33"/>
    <w:rsid w:val="00074765"/>
    <w:rsid w:val="0019794E"/>
    <w:rsid w:val="002A4ABB"/>
    <w:rsid w:val="003C165A"/>
    <w:rsid w:val="003C7A8A"/>
    <w:rsid w:val="00482491"/>
    <w:rsid w:val="00577E88"/>
    <w:rsid w:val="0061577F"/>
    <w:rsid w:val="006F60BE"/>
    <w:rsid w:val="007A3655"/>
    <w:rsid w:val="007C4633"/>
    <w:rsid w:val="00804478"/>
    <w:rsid w:val="0081400D"/>
    <w:rsid w:val="00825CA6"/>
    <w:rsid w:val="00860E9C"/>
    <w:rsid w:val="0092218D"/>
    <w:rsid w:val="0096357F"/>
    <w:rsid w:val="0098797E"/>
    <w:rsid w:val="00A54048"/>
    <w:rsid w:val="00A803D3"/>
    <w:rsid w:val="00CA3028"/>
    <w:rsid w:val="00D10A26"/>
    <w:rsid w:val="00D41697"/>
    <w:rsid w:val="00E06EF2"/>
    <w:rsid w:val="00EB74B3"/>
    <w:rsid w:val="00ED1028"/>
    <w:rsid w:val="00F46869"/>
    <w:rsid w:val="00F47E50"/>
    <w:rsid w:val="00F549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D0884-2B72-4A9C-9865-4A89CF9B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1400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1400D"/>
    <w:rPr>
      <w:color w:val="0000FF"/>
      <w:u w:val="single"/>
    </w:rPr>
  </w:style>
  <w:style w:type="paragraph" w:styleId="ListParagraph">
    <w:name w:val="List Paragraph"/>
    <w:basedOn w:val="Normal"/>
    <w:uiPriority w:val="34"/>
    <w:qFormat/>
    <w:rsid w:val="0092218D"/>
    <w:pPr>
      <w:ind w:left="720"/>
    </w:pPr>
    <w:rPr>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8259">
      <w:bodyDiv w:val="1"/>
      <w:marLeft w:val="0"/>
      <w:marRight w:val="0"/>
      <w:marTop w:val="0"/>
      <w:marBottom w:val="0"/>
      <w:divBdr>
        <w:top w:val="none" w:sz="0" w:space="0" w:color="auto"/>
        <w:left w:val="none" w:sz="0" w:space="0" w:color="auto"/>
        <w:bottom w:val="none" w:sz="0" w:space="0" w:color="auto"/>
        <w:right w:val="none" w:sz="0" w:space="0" w:color="auto"/>
      </w:divBdr>
    </w:div>
    <w:div w:id="1363238790">
      <w:bodyDiv w:val="1"/>
      <w:marLeft w:val="0"/>
      <w:marRight w:val="0"/>
      <w:marTop w:val="0"/>
      <w:marBottom w:val="0"/>
      <w:divBdr>
        <w:top w:val="none" w:sz="0" w:space="0" w:color="auto"/>
        <w:left w:val="none" w:sz="0" w:space="0" w:color="auto"/>
        <w:bottom w:val="none" w:sz="0" w:space="0" w:color="auto"/>
        <w:right w:val="none" w:sz="0" w:space="0" w:color="auto"/>
      </w:divBdr>
    </w:div>
    <w:div w:id="1377390093">
      <w:bodyDiv w:val="1"/>
      <w:marLeft w:val="0"/>
      <w:marRight w:val="0"/>
      <w:marTop w:val="0"/>
      <w:marBottom w:val="0"/>
      <w:divBdr>
        <w:top w:val="none" w:sz="0" w:space="0" w:color="auto"/>
        <w:left w:val="none" w:sz="0" w:space="0" w:color="auto"/>
        <w:bottom w:val="none" w:sz="0" w:space="0" w:color="auto"/>
        <w:right w:val="none" w:sz="0" w:space="0" w:color="auto"/>
      </w:divBdr>
    </w:div>
    <w:div w:id="1392922133">
      <w:bodyDiv w:val="1"/>
      <w:marLeft w:val="0"/>
      <w:marRight w:val="0"/>
      <w:marTop w:val="0"/>
      <w:marBottom w:val="0"/>
      <w:divBdr>
        <w:top w:val="none" w:sz="0" w:space="0" w:color="auto"/>
        <w:left w:val="none" w:sz="0" w:space="0" w:color="auto"/>
        <w:bottom w:val="none" w:sz="0" w:space="0" w:color="auto"/>
        <w:right w:val="none" w:sz="0" w:space="0" w:color="auto"/>
      </w:divBdr>
    </w:div>
    <w:div w:id="1664504000">
      <w:bodyDiv w:val="1"/>
      <w:marLeft w:val="0"/>
      <w:marRight w:val="0"/>
      <w:marTop w:val="0"/>
      <w:marBottom w:val="0"/>
      <w:divBdr>
        <w:top w:val="none" w:sz="0" w:space="0" w:color="auto"/>
        <w:left w:val="none" w:sz="0" w:space="0" w:color="auto"/>
        <w:bottom w:val="none" w:sz="0" w:space="0" w:color="auto"/>
        <w:right w:val="none" w:sz="0" w:space="0" w:color="auto"/>
      </w:divBdr>
    </w:div>
    <w:div w:id="20598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5</cp:revision>
  <dcterms:created xsi:type="dcterms:W3CDTF">2017-11-29T16:53:00Z</dcterms:created>
  <dcterms:modified xsi:type="dcterms:W3CDTF">2017-11-29T17:15:00Z</dcterms:modified>
</cp:coreProperties>
</file>