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98D" w:rsidRPr="007F40A0" w:rsidRDefault="00AA298D" w:rsidP="007F40A0">
      <w:pPr>
        <w:autoSpaceDE w:val="0"/>
        <w:autoSpaceDN w:val="0"/>
        <w:spacing w:after="160" w:line="276" w:lineRule="auto"/>
        <w:contextualSpacing/>
        <w:jc w:val="center"/>
        <w:rPr>
          <w:rFonts w:ascii="Arial" w:hAnsi="Arial" w:cs="Arial"/>
          <w:b/>
          <w:bCs/>
          <w:lang w:val="en-ZA"/>
        </w:rPr>
      </w:pPr>
      <w:r w:rsidRPr="007F40A0">
        <w:rPr>
          <w:rFonts w:ascii="Arial" w:hAnsi="Arial" w:cs="Arial"/>
          <w:b/>
          <w:noProof/>
          <w:lang w:val="en-ZA" w:eastAsia="en-ZA"/>
        </w:rPr>
        <w:drawing>
          <wp:inline distT="0" distB="0" distL="0" distR="0" wp14:anchorId="49FC221D" wp14:editId="68B5924B">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AA298D" w:rsidRPr="007F40A0" w:rsidRDefault="00241AE2" w:rsidP="007F40A0">
      <w:pPr>
        <w:spacing w:line="276" w:lineRule="auto"/>
        <w:ind w:left="454" w:right="454"/>
        <w:jc w:val="center"/>
        <w:rPr>
          <w:rFonts w:ascii="Arial" w:hAnsi="Arial" w:cs="Arial"/>
          <w:b/>
          <w:lang w:val="en-ZA"/>
        </w:rPr>
      </w:pPr>
      <w:r w:rsidRPr="007F40A0">
        <w:rPr>
          <w:rFonts w:ascii="Arial" w:hAnsi="Arial" w:cs="Arial"/>
          <w:b/>
          <w:lang w:val="en-ZA"/>
        </w:rPr>
        <w:t>OUTCOME TRIBUNAL HEARING -</w:t>
      </w:r>
      <w:r w:rsidR="00563FDE" w:rsidRPr="007F40A0">
        <w:rPr>
          <w:rFonts w:ascii="Arial" w:hAnsi="Arial" w:cs="Arial"/>
          <w:b/>
          <w:lang w:val="en-ZA"/>
        </w:rPr>
        <w:t>WEDNESDAY, 25 OCTOBER, 2017</w:t>
      </w:r>
    </w:p>
    <w:p w:rsidR="00AA298D" w:rsidRPr="007F40A0" w:rsidRDefault="00AA298D" w:rsidP="007F40A0">
      <w:pPr>
        <w:spacing w:line="276" w:lineRule="auto"/>
        <w:ind w:left="454" w:right="454"/>
        <w:jc w:val="both"/>
        <w:rPr>
          <w:rFonts w:ascii="Arial" w:hAnsi="Arial" w:cs="Arial"/>
          <w:b/>
          <w:lang w:val="en-ZA"/>
        </w:rPr>
      </w:pPr>
    </w:p>
    <w:p w:rsidR="00AA298D" w:rsidRPr="007F40A0" w:rsidRDefault="00AA298D" w:rsidP="007F40A0">
      <w:pPr>
        <w:spacing w:line="276" w:lineRule="auto"/>
        <w:ind w:left="454" w:right="454"/>
        <w:jc w:val="both"/>
        <w:rPr>
          <w:rFonts w:ascii="Arial" w:hAnsi="Arial" w:cs="Arial"/>
          <w:b/>
          <w:lang w:val="en-ZA"/>
        </w:rPr>
      </w:pPr>
    </w:p>
    <w:p w:rsidR="00AA298D" w:rsidRPr="007F40A0" w:rsidRDefault="00AA298D" w:rsidP="007F40A0">
      <w:pPr>
        <w:spacing w:line="276" w:lineRule="auto"/>
        <w:ind w:left="454" w:right="454"/>
        <w:jc w:val="both"/>
        <w:rPr>
          <w:rFonts w:ascii="Arial" w:hAnsi="Arial" w:cs="Arial"/>
          <w:lang w:val="en-ZA"/>
        </w:rPr>
      </w:pPr>
    </w:p>
    <w:tbl>
      <w:tblPr>
        <w:tblStyle w:val="TableGrid"/>
        <w:tblW w:w="9067"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748"/>
        <w:gridCol w:w="3067"/>
        <w:gridCol w:w="2126"/>
        <w:gridCol w:w="2126"/>
      </w:tblGrid>
      <w:tr w:rsidR="00241AE2" w:rsidRPr="007F40A0" w:rsidTr="00241AE2">
        <w:trPr>
          <w:trHeight w:val="972"/>
        </w:trPr>
        <w:tc>
          <w:tcPr>
            <w:tcW w:w="1748" w:type="dxa"/>
            <w:shd w:val="clear" w:color="auto" w:fill="996633"/>
          </w:tcPr>
          <w:p w:rsidR="00241AE2" w:rsidRPr="007F40A0" w:rsidRDefault="00241AE2" w:rsidP="007F40A0">
            <w:pPr>
              <w:spacing w:line="276" w:lineRule="auto"/>
              <w:ind w:right="454"/>
              <w:rPr>
                <w:rFonts w:ascii="Arial" w:hAnsi="Arial" w:cs="Arial"/>
                <w:color w:val="FFFFFF" w:themeColor="background1"/>
              </w:rPr>
            </w:pPr>
            <w:r w:rsidRPr="007F40A0">
              <w:rPr>
                <w:rFonts w:ascii="Arial" w:hAnsi="Arial" w:cs="Arial"/>
                <w:color w:val="FFFFFF" w:themeColor="background1"/>
              </w:rPr>
              <w:t>Type of matter</w:t>
            </w:r>
          </w:p>
        </w:tc>
        <w:tc>
          <w:tcPr>
            <w:tcW w:w="3067" w:type="dxa"/>
            <w:shd w:val="clear" w:color="auto" w:fill="996633"/>
          </w:tcPr>
          <w:p w:rsidR="00241AE2" w:rsidRPr="007F40A0" w:rsidRDefault="00241AE2" w:rsidP="007F40A0">
            <w:pPr>
              <w:spacing w:line="276" w:lineRule="auto"/>
              <w:ind w:right="454"/>
              <w:rPr>
                <w:rFonts w:ascii="Arial" w:hAnsi="Arial" w:cs="Arial"/>
                <w:color w:val="FFFFFF" w:themeColor="background1"/>
              </w:rPr>
            </w:pPr>
            <w:r w:rsidRPr="007F40A0">
              <w:rPr>
                <w:rFonts w:ascii="Arial" w:hAnsi="Arial" w:cs="Arial"/>
                <w:color w:val="FFFFFF" w:themeColor="background1"/>
              </w:rPr>
              <w:t>Parties involved</w:t>
            </w:r>
          </w:p>
        </w:tc>
        <w:tc>
          <w:tcPr>
            <w:tcW w:w="2126" w:type="dxa"/>
            <w:shd w:val="clear" w:color="auto" w:fill="996633"/>
          </w:tcPr>
          <w:p w:rsidR="00241AE2" w:rsidRPr="007F40A0" w:rsidRDefault="00241AE2" w:rsidP="007F40A0">
            <w:pPr>
              <w:spacing w:line="276" w:lineRule="auto"/>
              <w:ind w:right="454"/>
              <w:rPr>
                <w:rFonts w:ascii="Arial" w:hAnsi="Arial" w:cs="Arial"/>
                <w:color w:val="FFFFFF" w:themeColor="background1"/>
              </w:rPr>
            </w:pPr>
            <w:r w:rsidRPr="007F40A0">
              <w:rPr>
                <w:rFonts w:ascii="Arial" w:hAnsi="Arial" w:cs="Arial"/>
                <w:color w:val="FFFFFF" w:themeColor="background1"/>
              </w:rPr>
              <w:t>Competition Commission’s recommendation to Tribunal</w:t>
            </w:r>
          </w:p>
        </w:tc>
        <w:tc>
          <w:tcPr>
            <w:tcW w:w="2126" w:type="dxa"/>
            <w:shd w:val="clear" w:color="auto" w:fill="996633"/>
          </w:tcPr>
          <w:p w:rsidR="00241AE2" w:rsidRPr="007F40A0" w:rsidRDefault="00241AE2" w:rsidP="007F40A0">
            <w:pPr>
              <w:spacing w:line="276" w:lineRule="auto"/>
              <w:ind w:right="454"/>
              <w:rPr>
                <w:rFonts w:ascii="Arial" w:hAnsi="Arial" w:cs="Arial"/>
                <w:color w:val="FFFFFF" w:themeColor="background1"/>
              </w:rPr>
            </w:pPr>
            <w:r w:rsidRPr="007F40A0">
              <w:rPr>
                <w:rFonts w:ascii="Arial" w:hAnsi="Arial" w:cs="Arial"/>
                <w:color w:val="FFFFFF" w:themeColor="background1"/>
              </w:rPr>
              <w:t xml:space="preserve">Tribunal decision </w:t>
            </w:r>
          </w:p>
        </w:tc>
      </w:tr>
      <w:tr w:rsidR="00241AE2" w:rsidRPr="007F40A0" w:rsidTr="00241AE2">
        <w:trPr>
          <w:trHeight w:val="493"/>
        </w:trPr>
        <w:tc>
          <w:tcPr>
            <w:tcW w:w="1748" w:type="dxa"/>
          </w:tcPr>
          <w:p w:rsidR="00241AE2" w:rsidRPr="007F40A0" w:rsidRDefault="00241AE2" w:rsidP="007F40A0">
            <w:pPr>
              <w:spacing w:line="276" w:lineRule="auto"/>
              <w:ind w:right="454"/>
              <w:jc w:val="both"/>
              <w:rPr>
                <w:rFonts w:ascii="Arial" w:hAnsi="Arial" w:cs="Arial"/>
              </w:rPr>
            </w:pPr>
            <w:r w:rsidRPr="007F40A0">
              <w:rPr>
                <w:rFonts w:ascii="Arial" w:hAnsi="Arial" w:cs="Arial"/>
              </w:rPr>
              <w:t>Consent agreement</w:t>
            </w:r>
          </w:p>
        </w:tc>
        <w:tc>
          <w:tcPr>
            <w:tcW w:w="3067" w:type="dxa"/>
          </w:tcPr>
          <w:p w:rsidR="00241AE2" w:rsidRPr="007F40A0" w:rsidRDefault="00241AE2" w:rsidP="007F40A0">
            <w:pPr>
              <w:spacing w:line="276" w:lineRule="auto"/>
              <w:jc w:val="both"/>
              <w:rPr>
                <w:rFonts w:ascii="Arial" w:hAnsi="Arial" w:cs="Arial"/>
                <w:color w:val="000000"/>
              </w:rPr>
            </w:pPr>
            <w:r w:rsidRPr="007F40A0">
              <w:rPr>
                <w:rFonts w:ascii="Arial" w:hAnsi="Arial" w:cs="Arial"/>
                <w:color w:val="000000"/>
              </w:rPr>
              <w:t>Competition Commission And AECI Ltd; Foskor (Pty) Ltd; Omnia Fertilizers Ltd; Sasol South Africa (Pty) Ltd</w:t>
            </w:r>
          </w:p>
        </w:tc>
        <w:tc>
          <w:tcPr>
            <w:tcW w:w="2126" w:type="dxa"/>
          </w:tcPr>
          <w:p w:rsidR="00241AE2" w:rsidRPr="007F40A0" w:rsidRDefault="00241AE2" w:rsidP="007F40A0">
            <w:pPr>
              <w:spacing w:line="276" w:lineRule="auto"/>
              <w:ind w:right="454"/>
              <w:jc w:val="both"/>
              <w:rPr>
                <w:rFonts w:ascii="Arial" w:hAnsi="Arial" w:cs="Arial"/>
              </w:rPr>
            </w:pPr>
            <w:r w:rsidRPr="007F40A0">
              <w:rPr>
                <w:rFonts w:ascii="Arial" w:hAnsi="Arial" w:cs="Arial"/>
              </w:rPr>
              <w:t>Confirm settlement agreement</w:t>
            </w:r>
          </w:p>
        </w:tc>
        <w:tc>
          <w:tcPr>
            <w:tcW w:w="2126" w:type="dxa"/>
          </w:tcPr>
          <w:p w:rsidR="00241AE2" w:rsidRPr="007F40A0" w:rsidRDefault="00241AE2" w:rsidP="007F40A0">
            <w:pPr>
              <w:spacing w:line="276" w:lineRule="auto"/>
              <w:ind w:right="454"/>
              <w:jc w:val="both"/>
              <w:rPr>
                <w:rFonts w:ascii="Arial" w:hAnsi="Arial" w:cs="Arial"/>
              </w:rPr>
            </w:pPr>
            <w:r w:rsidRPr="007F40A0">
              <w:rPr>
                <w:rFonts w:ascii="Arial" w:hAnsi="Arial" w:cs="Arial"/>
              </w:rPr>
              <w:t xml:space="preserve">Waiting for further documentation </w:t>
            </w:r>
          </w:p>
        </w:tc>
      </w:tr>
      <w:tr w:rsidR="00241AE2" w:rsidRPr="007F40A0" w:rsidTr="00241AE2">
        <w:trPr>
          <w:trHeight w:val="493"/>
        </w:trPr>
        <w:tc>
          <w:tcPr>
            <w:tcW w:w="1748" w:type="dxa"/>
          </w:tcPr>
          <w:p w:rsidR="00241AE2" w:rsidRPr="007F40A0" w:rsidRDefault="00241AE2" w:rsidP="007F40A0">
            <w:pPr>
              <w:spacing w:line="276" w:lineRule="auto"/>
              <w:ind w:right="454"/>
              <w:jc w:val="both"/>
              <w:rPr>
                <w:rFonts w:ascii="Arial" w:hAnsi="Arial" w:cs="Arial"/>
              </w:rPr>
            </w:pPr>
            <w:r w:rsidRPr="007F40A0">
              <w:rPr>
                <w:rFonts w:ascii="Arial" w:hAnsi="Arial" w:cs="Arial"/>
              </w:rPr>
              <w:t>Large merger</w:t>
            </w:r>
          </w:p>
        </w:tc>
        <w:tc>
          <w:tcPr>
            <w:tcW w:w="3067" w:type="dxa"/>
          </w:tcPr>
          <w:p w:rsidR="00241AE2" w:rsidRPr="007F40A0" w:rsidRDefault="00241AE2" w:rsidP="007F40A0">
            <w:pPr>
              <w:spacing w:line="276" w:lineRule="auto"/>
              <w:ind w:right="454"/>
              <w:jc w:val="both"/>
              <w:rPr>
                <w:rFonts w:ascii="Arial" w:hAnsi="Arial" w:cs="Arial"/>
                <w:color w:val="000000"/>
              </w:rPr>
            </w:pPr>
            <w:r w:rsidRPr="007F40A0">
              <w:rPr>
                <w:rFonts w:ascii="Arial" w:hAnsi="Arial" w:cs="Arial"/>
                <w:color w:val="000000"/>
              </w:rPr>
              <w:t>Main Street 1522 (Pty) Ltd and Main Street 1523 (Pty) Ltd And Ahead Trading (Pty) Ltd and Six Sense Marketing (Pty) Ltd</w:t>
            </w:r>
          </w:p>
        </w:tc>
        <w:tc>
          <w:tcPr>
            <w:tcW w:w="2126" w:type="dxa"/>
          </w:tcPr>
          <w:p w:rsidR="00241AE2" w:rsidRPr="007F40A0" w:rsidRDefault="00241AE2" w:rsidP="007F40A0">
            <w:pPr>
              <w:spacing w:line="276" w:lineRule="auto"/>
              <w:ind w:right="454"/>
              <w:jc w:val="both"/>
              <w:rPr>
                <w:rFonts w:ascii="Arial" w:hAnsi="Arial" w:cs="Arial"/>
              </w:rPr>
            </w:pPr>
            <w:r w:rsidRPr="007F40A0">
              <w:rPr>
                <w:rFonts w:ascii="Arial" w:hAnsi="Arial" w:cs="Arial"/>
              </w:rPr>
              <w:t xml:space="preserve">Approve without conditions </w:t>
            </w:r>
          </w:p>
        </w:tc>
        <w:tc>
          <w:tcPr>
            <w:tcW w:w="2126" w:type="dxa"/>
          </w:tcPr>
          <w:p w:rsidR="00241AE2" w:rsidRPr="007F40A0" w:rsidRDefault="00241AE2" w:rsidP="007F40A0">
            <w:pPr>
              <w:spacing w:line="276" w:lineRule="auto"/>
              <w:ind w:right="454"/>
              <w:jc w:val="both"/>
              <w:rPr>
                <w:rFonts w:ascii="Arial" w:hAnsi="Arial" w:cs="Arial"/>
              </w:rPr>
            </w:pPr>
            <w:r w:rsidRPr="007F40A0">
              <w:rPr>
                <w:rFonts w:ascii="Arial" w:hAnsi="Arial" w:cs="Arial"/>
              </w:rPr>
              <w:t>Approved without conditions</w:t>
            </w:r>
          </w:p>
        </w:tc>
      </w:tr>
      <w:tr w:rsidR="00241AE2" w:rsidRPr="007F40A0" w:rsidTr="00241AE2">
        <w:trPr>
          <w:trHeight w:val="493"/>
        </w:trPr>
        <w:tc>
          <w:tcPr>
            <w:tcW w:w="1748" w:type="dxa"/>
          </w:tcPr>
          <w:p w:rsidR="00241AE2" w:rsidRPr="007F40A0" w:rsidRDefault="00241AE2" w:rsidP="007F40A0">
            <w:pPr>
              <w:spacing w:line="276" w:lineRule="auto"/>
              <w:ind w:right="454"/>
              <w:jc w:val="both"/>
              <w:rPr>
                <w:rFonts w:ascii="Arial" w:hAnsi="Arial" w:cs="Arial"/>
              </w:rPr>
            </w:pPr>
            <w:r w:rsidRPr="007F40A0">
              <w:rPr>
                <w:rFonts w:ascii="Arial" w:hAnsi="Arial" w:cs="Arial"/>
              </w:rPr>
              <w:t>Large merger</w:t>
            </w:r>
          </w:p>
        </w:tc>
        <w:tc>
          <w:tcPr>
            <w:tcW w:w="3067" w:type="dxa"/>
          </w:tcPr>
          <w:p w:rsidR="00241AE2" w:rsidRPr="007F40A0" w:rsidRDefault="00241AE2" w:rsidP="007F40A0">
            <w:pPr>
              <w:spacing w:line="276" w:lineRule="auto"/>
              <w:ind w:right="454"/>
              <w:jc w:val="both"/>
              <w:rPr>
                <w:rFonts w:ascii="Arial" w:hAnsi="Arial" w:cs="Arial"/>
                <w:color w:val="000000"/>
              </w:rPr>
            </w:pPr>
            <w:r w:rsidRPr="007F40A0">
              <w:rPr>
                <w:rFonts w:ascii="Arial" w:hAnsi="Arial" w:cs="Arial"/>
                <w:color w:val="000000"/>
              </w:rPr>
              <w:t>Libstar Operations (Pty) Ltd And Sonnendal Dairies (Pty) Ltd</w:t>
            </w:r>
          </w:p>
        </w:tc>
        <w:tc>
          <w:tcPr>
            <w:tcW w:w="2126" w:type="dxa"/>
          </w:tcPr>
          <w:p w:rsidR="00241AE2" w:rsidRPr="007F40A0" w:rsidRDefault="00241AE2" w:rsidP="007F40A0">
            <w:pPr>
              <w:spacing w:line="276" w:lineRule="auto"/>
              <w:ind w:right="454"/>
              <w:jc w:val="both"/>
              <w:rPr>
                <w:rFonts w:ascii="Arial" w:hAnsi="Arial" w:cs="Arial"/>
              </w:rPr>
            </w:pPr>
            <w:r w:rsidRPr="007F40A0">
              <w:rPr>
                <w:rFonts w:ascii="Arial" w:hAnsi="Arial" w:cs="Arial"/>
              </w:rPr>
              <w:t xml:space="preserve">Approve with conditions </w:t>
            </w:r>
          </w:p>
        </w:tc>
        <w:tc>
          <w:tcPr>
            <w:tcW w:w="2126" w:type="dxa"/>
          </w:tcPr>
          <w:p w:rsidR="00241AE2" w:rsidRPr="007F40A0" w:rsidRDefault="00241AE2" w:rsidP="007F40A0">
            <w:pPr>
              <w:spacing w:line="276" w:lineRule="auto"/>
              <w:ind w:right="454"/>
              <w:jc w:val="both"/>
              <w:rPr>
                <w:rFonts w:ascii="Arial" w:hAnsi="Arial" w:cs="Arial"/>
              </w:rPr>
            </w:pPr>
            <w:r w:rsidRPr="007F40A0">
              <w:rPr>
                <w:rFonts w:ascii="Arial" w:hAnsi="Arial" w:cs="Arial"/>
              </w:rPr>
              <w:t xml:space="preserve">Approve with conditions </w:t>
            </w:r>
          </w:p>
        </w:tc>
      </w:tr>
      <w:tr w:rsidR="00241AE2" w:rsidRPr="007F40A0" w:rsidTr="00241AE2">
        <w:trPr>
          <w:trHeight w:val="493"/>
        </w:trPr>
        <w:tc>
          <w:tcPr>
            <w:tcW w:w="1748" w:type="dxa"/>
          </w:tcPr>
          <w:p w:rsidR="00241AE2" w:rsidRPr="007F40A0" w:rsidRDefault="00241AE2" w:rsidP="007F40A0">
            <w:pPr>
              <w:spacing w:line="276" w:lineRule="auto"/>
              <w:ind w:right="454"/>
              <w:jc w:val="both"/>
              <w:rPr>
                <w:rFonts w:ascii="Arial" w:hAnsi="Arial" w:cs="Arial"/>
              </w:rPr>
            </w:pPr>
            <w:r w:rsidRPr="007F40A0">
              <w:rPr>
                <w:rFonts w:ascii="Arial" w:hAnsi="Arial" w:cs="Arial"/>
              </w:rPr>
              <w:t xml:space="preserve">Large merger </w:t>
            </w:r>
          </w:p>
        </w:tc>
        <w:tc>
          <w:tcPr>
            <w:tcW w:w="3067" w:type="dxa"/>
          </w:tcPr>
          <w:p w:rsidR="00241AE2" w:rsidRPr="007F40A0" w:rsidRDefault="00241AE2" w:rsidP="007F40A0">
            <w:pPr>
              <w:spacing w:line="276" w:lineRule="auto"/>
              <w:ind w:right="454"/>
              <w:jc w:val="both"/>
              <w:rPr>
                <w:rFonts w:ascii="Arial" w:hAnsi="Arial" w:cs="Arial"/>
                <w:color w:val="000000"/>
              </w:rPr>
            </w:pPr>
            <w:r w:rsidRPr="007F40A0">
              <w:rPr>
                <w:rFonts w:ascii="Arial" w:hAnsi="Arial" w:cs="Arial"/>
                <w:color w:val="000000"/>
              </w:rPr>
              <w:t>Golden Tree Asset Management LP And Peermont Holdings (Pty) Ltd.</w:t>
            </w:r>
          </w:p>
        </w:tc>
        <w:tc>
          <w:tcPr>
            <w:tcW w:w="2126" w:type="dxa"/>
          </w:tcPr>
          <w:p w:rsidR="00241AE2" w:rsidRPr="007F40A0" w:rsidRDefault="00241AE2" w:rsidP="007F40A0">
            <w:pPr>
              <w:spacing w:line="276" w:lineRule="auto"/>
              <w:ind w:right="454"/>
              <w:jc w:val="both"/>
              <w:rPr>
                <w:rFonts w:ascii="Arial" w:hAnsi="Arial" w:cs="Arial"/>
              </w:rPr>
            </w:pPr>
            <w:r w:rsidRPr="007F40A0">
              <w:rPr>
                <w:rFonts w:ascii="Arial" w:hAnsi="Arial" w:cs="Arial"/>
              </w:rPr>
              <w:t xml:space="preserve">Approve without conditions </w:t>
            </w:r>
          </w:p>
        </w:tc>
        <w:tc>
          <w:tcPr>
            <w:tcW w:w="2126" w:type="dxa"/>
          </w:tcPr>
          <w:p w:rsidR="00241AE2" w:rsidRPr="007F40A0" w:rsidRDefault="00241AE2" w:rsidP="007F40A0">
            <w:pPr>
              <w:spacing w:line="276" w:lineRule="auto"/>
              <w:ind w:right="454"/>
              <w:jc w:val="both"/>
              <w:rPr>
                <w:rFonts w:ascii="Arial" w:hAnsi="Arial" w:cs="Arial"/>
              </w:rPr>
            </w:pPr>
            <w:r w:rsidRPr="007F40A0">
              <w:rPr>
                <w:rFonts w:ascii="Arial" w:hAnsi="Arial" w:cs="Arial"/>
              </w:rPr>
              <w:t xml:space="preserve">Approve without conditions </w:t>
            </w:r>
          </w:p>
        </w:tc>
      </w:tr>
    </w:tbl>
    <w:p w:rsidR="00AA298D" w:rsidRPr="007F40A0" w:rsidRDefault="00AA298D" w:rsidP="007F40A0">
      <w:pPr>
        <w:autoSpaceDE w:val="0"/>
        <w:autoSpaceDN w:val="0"/>
        <w:spacing w:after="160" w:line="276" w:lineRule="auto"/>
        <w:ind w:left="567" w:right="567"/>
        <w:contextualSpacing/>
        <w:jc w:val="both"/>
        <w:rPr>
          <w:rFonts w:ascii="Arial" w:eastAsia="Calibri" w:hAnsi="Arial" w:cs="Arial"/>
          <w:b/>
          <w:lang w:val="en-ZA"/>
        </w:rPr>
      </w:pPr>
    </w:p>
    <w:p w:rsidR="00E94556" w:rsidRPr="007F40A0" w:rsidRDefault="00E94556" w:rsidP="007F40A0">
      <w:pPr>
        <w:autoSpaceDE w:val="0"/>
        <w:autoSpaceDN w:val="0"/>
        <w:spacing w:after="160" w:line="276" w:lineRule="auto"/>
        <w:ind w:left="567" w:right="567"/>
        <w:contextualSpacing/>
        <w:jc w:val="both"/>
        <w:rPr>
          <w:rFonts w:ascii="Arial" w:hAnsi="Arial" w:cs="Arial"/>
          <w:b/>
          <w:bCs/>
          <w:lang w:val="en-ZA"/>
        </w:rPr>
      </w:pPr>
      <w:r w:rsidRPr="007F40A0">
        <w:rPr>
          <w:rFonts w:ascii="Arial" w:hAnsi="Arial" w:cs="Arial"/>
          <w:b/>
          <w:bCs/>
          <w:lang w:val="en-ZA"/>
        </w:rPr>
        <w:t xml:space="preserve">Tribunal </w:t>
      </w:r>
      <w:r w:rsidR="002846FE" w:rsidRPr="007F40A0">
        <w:rPr>
          <w:rFonts w:ascii="Arial" w:hAnsi="Arial" w:cs="Arial"/>
          <w:b/>
          <w:bCs/>
          <w:lang w:val="en-ZA"/>
        </w:rPr>
        <w:t xml:space="preserve">has requested further documentation before considering an </w:t>
      </w:r>
      <w:r w:rsidRPr="007F40A0">
        <w:rPr>
          <w:rFonts w:ascii="Arial" w:hAnsi="Arial" w:cs="Arial"/>
          <w:b/>
          <w:bCs/>
          <w:lang w:val="en-ZA"/>
        </w:rPr>
        <w:t>agreement relating to price fixing for the sale of ammonia</w:t>
      </w:r>
    </w:p>
    <w:p w:rsidR="00E94556" w:rsidRPr="007F40A0" w:rsidRDefault="00E94556" w:rsidP="007F40A0">
      <w:pPr>
        <w:autoSpaceDE w:val="0"/>
        <w:autoSpaceDN w:val="0"/>
        <w:spacing w:after="160" w:line="276" w:lineRule="auto"/>
        <w:ind w:left="567" w:right="567"/>
        <w:contextualSpacing/>
        <w:jc w:val="both"/>
        <w:rPr>
          <w:rFonts w:ascii="Arial" w:hAnsi="Arial" w:cs="Arial"/>
          <w:b/>
          <w:bCs/>
          <w:lang w:val="en-ZA"/>
        </w:rPr>
      </w:pPr>
    </w:p>
    <w:p w:rsidR="00241AE2" w:rsidRPr="007F40A0" w:rsidRDefault="00241AE2" w:rsidP="007F40A0">
      <w:pPr>
        <w:autoSpaceDE w:val="0"/>
        <w:autoSpaceDN w:val="0"/>
        <w:spacing w:after="160" w:line="276" w:lineRule="auto"/>
        <w:ind w:left="567" w:right="567"/>
        <w:contextualSpacing/>
        <w:jc w:val="both"/>
        <w:rPr>
          <w:rFonts w:ascii="Arial" w:hAnsi="Arial" w:cs="Arial"/>
          <w:bCs/>
          <w:lang w:val="en-ZA"/>
        </w:rPr>
      </w:pPr>
      <w:r w:rsidRPr="007F40A0">
        <w:rPr>
          <w:rFonts w:ascii="Arial" w:hAnsi="Arial" w:cs="Arial"/>
          <w:bCs/>
          <w:lang w:val="en-ZA"/>
        </w:rPr>
        <w:t>The Tribunal is awaiting further documents with regard to a proposed settlement agr</w:t>
      </w:r>
      <w:r w:rsidR="002846FE" w:rsidRPr="007F40A0">
        <w:rPr>
          <w:rFonts w:ascii="Arial" w:hAnsi="Arial" w:cs="Arial"/>
          <w:bCs/>
          <w:lang w:val="en-ZA"/>
        </w:rPr>
        <w:t>eement involving</w:t>
      </w:r>
      <w:r w:rsidRPr="007F40A0">
        <w:rPr>
          <w:rFonts w:ascii="Arial" w:hAnsi="Arial" w:cs="Arial"/>
          <w:bCs/>
          <w:lang w:val="en-ZA"/>
        </w:rPr>
        <w:t xml:space="preserve"> </w:t>
      </w:r>
      <w:r w:rsidR="00E94556" w:rsidRPr="007F40A0">
        <w:rPr>
          <w:rFonts w:ascii="Arial" w:hAnsi="Arial" w:cs="Arial"/>
          <w:bCs/>
          <w:lang w:val="en-ZA"/>
        </w:rPr>
        <w:t xml:space="preserve">AECI, Foskor, Omnia Fertilizers and Sasol South Africa </w:t>
      </w:r>
      <w:r w:rsidRPr="007F40A0">
        <w:rPr>
          <w:rFonts w:ascii="Arial" w:hAnsi="Arial" w:cs="Arial"/>
          <w:bCs/>
          <w:lang w:val="en-ZA"/>
        </w:rPr>
        <w:t xml:space="preserve">for making use of a pricing formula by which they would sell each other ammonia should the parties fail to agree on a purchase price. </w:t>
      </w:r>
    </w:p>
    <w:p w:rsidR="00E94556" w:rsidRPr="007F40A0" w:rsidRDefault="00E94556" w:rsidP="007F40A0">
      <w:pPr>
        <w:autoSpaceDE w:val="0"/>
        <w:autoSpaceDN w:val="0"/>
        <w:spacing w:after="160" w:line="276" w:lineRule="auto"/>
        <w:ind w:left="567" w:right="567"/>
        <w:contextualSpacing/>
        <w:jc w:val="both"/>
        <w:rPr>
          <w:rFonts w:ascii="Arial" w:hAnsi="Arial" w:cs="Arial"/>
          <w:bCs/>
          <w:lang w:val="en-ZA"/>
        </w:rPr>
      </w:pPr>
    </w:p>
    <w:p w:rsidR="00E94556" w:rsidRPr="007F40A0" w:rsidRDefault="00E94556" w:rsidP="007F40A0">
      <w:pPr>
        <w:autoSpaceDE w:val="0"/>
        <w:autoSpaceDN w:val="0"/>
        <w:spacing w:after="160" w:line="276" w:lineRule="auto"/>
        <w:ind w:left="567" w:right="567"/>
        <w:contextualSpacing/>
        <w:jc w:val="both"/>
        <w:rPr>
          <w:rFonts w:ascii="Arial" w:hAnsi="Arial" w:cs="Arial"/>
          <w:bCs/>
          <w:lang w:val="en-ZA"/>
        </w:rPr>
      </w:pPr>
      <w:r w:rsidRPr="007F40A0">
        <w:rPr>
          <w:rFonts w:ascii="Arial" w:hAnsi="Arial" w:cs="Arial"/>
          <w:bCs/>
          <w:lang w:val="en-ZA"/>
        </w:rPr>
        <w:t>The Competition Commission launched a complaint on 9 July 2012 of price fixing against the four firms. Investigation showed that there was</w:t>
      </w:r>
      <w:r w:rsidR="00551792" w:rsidRPr="007F40A0">
        <w:rPr>
          <w:rFonts w:ascii="Arial" w:hAnsi="Arial" w:cs="Arial"/>
          <w:bCs/>
          <w:lang w:val="en-ZA"/>
        </w:rPr>
        <w:t xml:space="preserve"> a cost-saving benefit</w:t>
      </w:r>
      <w:r w:rsidRPr="007F40A0">
        <w:rPr>
          <w:rFonts w:ascii="Arial" w:hAnsi="Arial" w:cs="Arial"/>
          <w:bCs/>
          <w:lang w:val="en-ZA"/>
        </w:rPr>
        <w:t xml:space="preserve"> to the respondents jointly s</w:t>
      </w:r>
      <w:r w:rsidR="00551792" w:rsidRPr="007F40A0">
        <w:rPr>
          <w:rFonts w:ascii="Arial" w:hAnsi="Arial" w:cs="Arial"/>
          <w:bCs/>
          <w:lang w:val="en-ZA"/>
        </w:rPr>
        <w:t xml:space="preserve">toring their ammonia stock at </w:t>
      </w:r>
      <w:r w:rsidRPr="007F40A0">
        <w:rPr>
          <w:rFonts w:ascii="Arial" w:hAnsi="Arial" w:cs="Arial"/>
          <w:bCs/>
          <w:lang w:val="en-ZA"/>
        </w:rPr>
        <w:t xml:space="preserve">RAMM as it was the only such storage facility in Richards Bay. </w:t>
      </w:r>
    </w:p>
    <w:p w:rsidR="00E94556" w:rsidRPr="007F40A0" w:rsidRDefault="00E94556" w:rsidP="007F40A0">
      <w:pPr>
        <w:autoSpaceDE w:val="0"/>
        <w:autoSpaceDN w:val="0"/>
        <w:spacing w:after="160" w:line="276" w:lineRule="auto"/>
        <w:ind w:left="567" w:right="567"/>
        <w:contextualSpacing/>
        <w:jc w:val="both"/>
        <w:rPr>
          <w:rFonts w:ascii="Arial" w:hAnsi="Arial" w:cs="Arial"/>
          <w:bCs/>
          <w:lang w:val="en-ZA"/>
        </w:rPr>
      </w:pPr>
    </w:p>
    <w:p w:rsidR="00E94556" w:rsidRPr="007F40A0" w:rsidRDefault="00E94556" w:rsidP="007F40A0">
      <w:pPr>
        <w:autoSpaceDE w:val="0"/>
        <w:autoSpaceDN w:val="0"/>
        <w:spacing w:after="160" w:line="276" w:lineRule="auto"/>
        <w:ind w:left="567" w:right="567"/>
        <w:contextualSpacing/>
        <w:jc w:val="both"/>
        <w:rPr>
          <w:rFonts w:ascii="Arial" w:hAnsi="Arial" w:cs="Arial"/>
          <w:bCs/>
          <w:lang w:val="en-ZA"/>
        </w:rPr>
      </w:pPr>
      <w:r w:rsidRPr="007F40A0">
        <w:rPr>
          <w:rFonts w:ascii="Arial" w:hAnsi="Arial" w:cs="Arial"/>
          <w:bCs/>
          <w:lang w:val="en-ZA"/>
        </w:rPr>
        <w:t>In terms of the agreement</w:t>
      </w:r>
      <w:r w:rsidR="00241AE2" w:rsidRPr="007F40A0">
        <w:rPr>
          <w:rFonts w:ascii="Arial" w:hAnsi="Arial" w:cs="Arial"/>
          <w:bCs/>
          <w:lang w:val="en-ZA"/>
        </w:rPr>
        <w:t xml:space="preserve"> made with the Commission</w:t>
      </w:r>
      <w:r w:rsidRPr="007F40A0">
        <w:rPr>
          <w:rFonts w:ascii="Arial" w:hAnsi="Arial" w:cs="Arial"/>
          <w:bCs/>
          <w:lang w:val="en-ZA"/>
        </w:rPr>
        <w:t xml:space="preserve"> the four companies will remove the clause from the partnership agreement. </w:t>
      </w:r>
      <w:r w:rsidR="002846FE" w:rsidRPr="007F40A0">
        <w:rPr>
          <w:rFonts w:ascii="Arial" w:hAnsi="Arial" w:cs="Arial"/>
          <w:bCs/>
          <w:lang w:val="en-ZA"/>
        </w:rPr>
        <w:t xml:space="preserve">The </w:t>
      </w:r>
      <w:r w:rsidR="00241AE2" w:rsidRPr="007F40A0">
        <w:rPr>
          <w:rFonts w:ascii="Arial" w:hAnsi="Arial" w:cs="Arial"/>
          <w:bCs/>
          <w:lang w:val="en-ZA"/>
        </w:rPr>
        <w:t>Commission</w:t>
      </w:r>
      <w:r w:rsidR="002846FE" w:rsidRPr="007F40A0">
        <w:rPr>
          <w:rFonts w:ascii="Arial" w:hAnsi="Arial" w:cs="Arial"/>
          <w:bCs/>
          <w:lang w:val="en-ZA"/>
        </w:rPr>
        <w:t xml:space="preserve"> proposed that </w:t>
      </w:r>
      <w:r w:rsidR="00241AE2" w:rsidRPr="007F40A0">
        <w:rPr>
          <w:rFonts w:ascii="Arial" w:hAnsi="Arial" w:cs="Arial"/>
          <w:bCs/>
          <w:lang w:val="en-ZA"/>
        </w:rPr>
        <w:t xml:space="preserve">should the </w:t>
      </w:r>
      <w:r w:rsidRPr="007F40A0">
        <w:rPr>
          <w:rFonts w:ascii="Arial" w:hAnsi="Arial" w:cs="Arial"/>
          <w:bCs/>
          <w:lang w:val="en-ZA"/>
        </w:rPr>
        <w:t xml:space="preserve">parties be unable to reach a bilateral agreement on the purchase price of ammonia, the requesting party shall be entitled to withdraw the requisite amount of ammonia from the RAMM facility on a loan basis, provided that the same amount of ammonia is returned to the facility by the requesting party </w:t>
      </w:r>
      <w:r w:rsidR="00241AE2" w:rsidRPr="007F40A0">
        <w:rPr>
          <w:rFonts w:ascii="Arial" w:hAnsi="Arial" w:cs="Arial"/>
          <w:bCs/>
          <w:lang w:val="en-ZA"/>
        </w:rPr>
        <w:t>in four months</w:t>
      </w:r>
      <w:r w:rsidR="002846FE" w:rsidRPr="007F40A0">
        <w:rPr>
          <w:rFonts w:ascii="Arial" w:hAnsi="Arial" w:cs="Arial"/>
          <w:bCs/>
          <w:lang w:val="en-ZA"/>
        </w:rPr>
        <w:t>.</w:t>
      </w:r>
      <w:r w:rsidRPr="007F40A0">
        <w:rPr>
          <w:rFonts w:ascii="Arial" w:hAnsi="Arial" w:cs="Arial"/>
          <w:bCs/>
          <w:lang w:val="en-ZA"/>
        </w:rPr>
        <w:t xml:space="preserve"> </w:t>
      </w:r>
    </w:p>
    <w:p w:rsidR="00E94556" w:rsidRPr="007F40A0" w:rsidRDefault="00E94556" w:rsidP="007F40A0">
      <w:pPr>
        <w:autoSpaceDE w:val="0"/>
        <w:autoSpaceDN w:val="0"/>
        <w:spacing w:after="160" w:line="276" w:lineRule="auto"/>
        <w:ind w:left="567" w:right="567"/>
        <w:contextualSpacing/>
        <w:jc w:val="both"/>
        <w:rPr>
          <w:rFonts w:ascii="Arial" w:hAnsi="Arial" w:cs="Arial"/>
          <w:bCs/>
          <w:lang w:val="en-ZA"/>
        </w:rPr>
      </w:pPr>
    </w:p>
    <w:p w:rsidR="00E94556" w:rsidRPr="007F40A0" w:rsidRDefault="00E94556" w:rsidP="007F40A0">
      <w:pPr>
        <w:autoSpaceDE w:val="0"/>
        <w:autoSpaceDN w:val="0"/>
        <w:spacing w:after="160" w:line="276" w:lineRule="auto"/>
        <w:ind w:left="567" w:right="567"/>
        <w:contextualSpacing/>
        <w:jc w:val="both"/>
        <w:rPr>
          <w:rFonts w:ascii="Arial" w:hAnsi="Arial" w:cs="Arial"/>
          <w:bCs/>
          <w:lang w:val="en-ZA"/>
        </w:rPr>
      </w:pPr>
      <w:r w:rsidRPr="007F40A0">
        <w:rPr>
          <w:rFonts w:ascii="Arial" w:hAnsi="Arial" w:cs="Arial"/>
          <w:bCs/>
          <w:lang w:val="en-ZA"/>
        </w:rPr>
        <w:t xml:space="preserve">There is no admission of a contravention of the Competition Act and no </w:t>
      </w:r>
      <w:r w:rsidR="002846FE" w:rsidRPr="007F40A0">
        <w:rPr>
          <w:rFonts w:ascii="Arial" w:hAnsi="Arial" w:cs="Arial"/>
          <w:bCs/>
          <w:lang w:val="en-ZA"/>
        </w:rPr>
        <w:t xml:space="preserve">administrative penalty has been sought in the proposed settlement </w:t>
      </w:r>
      <w:r w:rsidR="007F40A0" w:rsidRPr="007F40A0">
        <w:rPr>
          <w:rFonts w:ascii="Arial" w:hAnsi="Arial" w:cs="Arial"/>
          <w:bCs/>
          <w:lang w:val="en-ZA"/>
        </w:rPr>
        <w:t xml:space="preserve">but there is a requirement </w:t>
      </w:r>
      <w:r w:rsidR="002846FE" w:rsidRPr="007F40A0">
        <w:rPr>
          <w:rFonts w:ascii="Arial" w:hAnsi="Arial" w:cs="Arial"/>
          <w:bCs/>
          <w:lang w:val="en-ZA"/>
        </w:rPr>
        <w:t xml:space="preserve">that </w:t>
      </w:r>
      <w:r w:rsidR="007F40A0" w:rsidRPr="007F40A0">
        <w:rPr>
          <w:rFonts w:ascii="Arial" w:hAnsi="Arial" w:cs="Arial"/>
          <w:bCs/>
          <w:lang w:val="en-ZA"/>
        </w:rPr>
        <w:t xml:space="preserve">should the Consent Agreement be confirmed by the Tribunal, </w:t>
      </w:r>
      <w:r w:rsidR="002846FE" w:rsidRPr="007F40A0">
        <w:rPr>
          <w:rFonts w:ascii="Arial" w:hAnsi="Arial" w:cs="Arial"/>
          <w:bCs/>
          <w:lang w:val="en-ZA"/>
        </w:rPr>
        <w:t xml:space="preserve">the respondents </w:t>
      </w:r>
      <w:r w:rsidR="007F40A0" w:rsidRPr="007F40A0">
        <w:rPr>
          <w:rFonts w:ascii="Arial" w:hAnsi="Arial" w:cs="Arial"/>
          <w:bCs/>
          <w:lang w:val="en-ZA"/>
        </w:rPr>
        <w:t xml:space="preserve">would circulate the document to </w:t>
      </w:r>
      <w:r w:rsidRPr="007F40A0">
        <w:rPr>
          <w:rFonts w:ascii="Arial" w:hAnsi="Arial" w:cs="Arial"/>
          <w:bCs/>
          <w:lang w:val="en-ZA"/>
        </w:rPr>
        <w:t xml:space="preserve">relevant employees and managers within 14 days of confirmation of the Consent Agreement and </w:t>
      </w:r>
      <w:r w:rsidR="002846FE" w:rsidRPr="007F40A0">
        <w:rPr>
          <w:rFonts w:ascii="Arial" w:hAnsi="Arial" w:cs="Arial"/>
          <w:bCs/>
          <w:lang w:val="en-ZA"/>
        </w:rPr>
        <w:t xml:space="preserve">that the </w:t>
      </w:r>
      <w:r w:rsidRPr="007F40A0">
        <w:rPr>
          <w:rFonts w:ascii="Arial" w:hAnsi="Arial" w:cs="Arial"/>
          <w:bCs/>
          <w:lang w:val="en-ZA"/>
        </w:rPr>
        <w:t xml:space="preserve">parties refrain from agreeing amongst themselves on a formula for the price at which ammonia is sold between the four firms. </w:t>
      </w:r>
    </w:p>
    <w:p w:rsidR="00845310" w:rsidRPr="007F40A0" w:rsidRDefault="00845310" w:rsidP="007F40A0">
      <w:pPr>
        <w:autoSpaceDE w:val="0"/>
        <w:autoSpaceDN w:val="0"/>
        <w:spacing w:after="160" w:line="276" w:lineRule="auto"/>
        <w:ind w:left="567" w:right="567"/>
        <w:contextualSpacing/>
        <w:jc w:val="both"/>
        <w:rPr>
          <w:rFonts w:ascii="Arial" w:hAnsi="Arial" w:cs="Arial"/>
          <w:bCs/>
          <w:lang w:val="en-ZA"/>
        </w:rPr>
      </w:pPr>
    </w:p>
    <w:p w:rsidR="00A10CD5" w:rsidRPr="007F40A0" w:rsidRDefault="00A10CD5" w:rsidP="007F40A0">
      <w:pPr>
        <w:autoSpaceDE w:val="0"/>
        <w:autoSpaceDN w:val="0"/>
        <w:spacing w:after="160" w:line="276" w:lineRule="auto"/>
        <w:ind w:left="567" w:right="567"/>
        <w:contextualSpacing/>
        <w:jc w:val="both"/>
        <w:rPr>
          <w:rFonts w:ascii="Arial" w:hAnsi="Arial" w:cs="Arial"/>
          <w:b/>
          <w:bCs/>
          <w:lang w:val="en-ZA"/>
        </w:rPr>
      </w:pPr>
      <w:r w:rsidRPr="007F40A0">
        <w:rPr>
          <w:rFonts w:ascii="Arial" w:hAnsi="Arial" w:cs="Arial"/>
          <w:b/>
          <w:bCs/>
          <w:lang w:val="en-ZA"/>
        </w:rPr>
        <w:t>Sanlam Life-owned company acquire</w:t>
      </w:r>
      <w:r w:rsidR="00CB4CCC">
        <w:rPr>
          <w:rFonts w:ascii="Arial" w:hAnsi="Arial" w:cs="Arial"/>
          <w:b/>
          <w:bCs/>
          <w:lang w:val="en-ZA"/>
        </w:rPr>
        <w:t>s</w:t>
      </w:r>
      <w:r w:rsidRPr="007F40A0">
        <w:rPr>
          <w:rFonts w:ascii="Arial" w:hAnsi="Arial" w:cs="Arial"/>
          <w:b/>
          <w:bCs/>
          <w:lang w:val="en-ZA"/>
        </w:rPr>
        <w:t xml:space="preserve"> the KFC business </w:t>
      </w:r>
      <w:r w:rsidR="00241AE2" w:rsidRPr="007F40A0">
        <w:rPr>
          <w:rFonts w:ascii="Arial" w:hAnsi="Arial" w:cs="Arial"/>
          <w:b/>
          <w:bCs/>
          <w:lang w:val="en-ZA"/>
        </w:rPr>
        <w:t xml:space="preserve">and advertising </w:t>
      </w:r>
      <w:r w:rsidR="007F40A0" w:rsidRPr="007F40A0">
        <w:rPr>
          <w:rFonts w:ascii="Arial" w:hAnsi="Arial" w:cs="Arial"/>
          <w:b/>
          <w:bCs/>
          <w:lang w:val="en-ZA"/>
        </w:rPr>
        <w:t>business in the Western and Northern Cape</w:t>
      </w:r>
    </w:p>
    <w:p w:rsidR="00241AE2" w:rsidRPr="007F40A0" w:rsidRDefault="00241AE2" w:rsidP="007F40A0">
      <w:pPr>
        <w:autoSpaceDE w:val="0"/>
        <w:autoSpaceDN w:val="0"/>
        <w:spacing w:after="160" w:line="276" w:lineRule="auto"/>
        <w:ind w:left="567" w:right="567"/>
        <w:contextualSpacing/>
        <w:jc w:val="both"/>
        <w:rPr>
          <w:rFonts w:ascii="Arial" w:hAnsi="Arial" w:cs="Arial"/>
          <w:b/>
          <w:bCs/>
          <w:lang w:val="en-ZA"/>
        </w:rPr>
      </w:pPr>
    </w:p>
    <w:p w:rsidR="009E6799" w:rsidRPr="007F40A0" w:rsidRDefault="00241AE2" w:rsidP="007F40A0">
      <w:pPr>
        <w:autoSpaceDE w:val="0"/>
        <w:autoSpaceDN w:val="0"/>
        <w:spacing w:after="160" w:line="276" w:lineRule="auto"/>
        <w:ind w:left="567" w:right="567"/>
        <w:contextualSpacing/>
        <w:jc w:val="both"/>
        <w:rPr>
          <w:rFonts w:ascii="Arial" w:hAnsi="Arial" w:cs="Arial"/>
          <w:bCs/>
          <w:lang w:val="en-ZA"/>
        </w:rPr>
      </w:pPr>
      <w:r w:rsidRPr="007F40A0">
        <w:rPr>
          <w:rFonts w:ascii="Arial" w:hAnsi="Arial" w:cs="Arial"/>
          <w:lang w:val="en-GB"/>
        </w:rPr>
        <w:t>Tribunal</w:t>
      </w:r>
      <w:r w:rsidRPr="007F40A0">
        <w:rPr>
          <w:rFonts w:ascii="Arial" w:hAnsi="Arial" w:cs="Arial"/>
          <w:lang w:val="en-GB"/>
        </w:rPr>
        <w:t xml:space="preserve"> has approved a merger whereby </w:t>
      </w:r>
      <w:r w:rsidR="009E6799" w:rsidRPr="007F40A0">
        <w:rPr>
          <w:rFonts w:ascii="Arial" w:hAnsi="Arial" w:cs="Arial"/>
          <w:bCs/>
          <w:lang w:val="en-ZA"/>
        </w:rPr>
        <w:t xml:space="preserve">Main Street 1522 and Mains Street 1523 ultimately controlled by Sanlam Life Assurance Ltd </w:t>
      </w:r>
      <w:r w:rsidR="009E6799" w:rsidRPr="007F40A0">
        <w:rPr>
          <w:rFonts w:ascii="Arial" w:hAnsi="Arial" w:cs="Arial"/>
          <w:bCs/>
          <w:lang w:val="en-ZA"/>
        </w:rPr>
        <w:t xml:space="preserve">will acquire </w:t>
      </w:r>
      <w:r w:rsidR="009E6799" w:rsidRPr="007F40A0">
        <w:rPr>
          <w:rFonts w:ascii="Arial" w:hAnsi="Arial" w:cs="Arial"/>
          <w:bCs/>
          <w:lang w:val="en-ZA"/>
        </w:rPr>
        <w:t>the KFC businesses from Ahead Trading and the mar</w:t>
      </w:r>
      <w:r w:rsidR="007F40A0" w:rsidRPr="007F40A0">
        <w:rPr>
          <w:rFonts w:ascii="Arial" w:hAnsi="Arial" w:cs="Arial"/>
          <w:bCs/>
          <w:lang w:val="en-ZA"/>
        </w:rPr>
        <w:t>keting business from Six Sense operating in the Western and Northern Cape</w:t>
      </w:r>
    </w:p>
    <w:p w:rsidR="00241AE2" w:rsidRPr="007F40A0" w:rsidRDefault="00241AE2" w:rsidP="007F40A0">
      <w:pPr>
        <w:spacing w:line="276" w:lineRule="auto"/>
        <w:ind w:left="567" w:right="567"/>
        <w:contextualSpacing/>
        <w:rPr>
          <w:rFonts w:ascii="Arial" w:hAnsi="Arial" w:cs="Arial"/>
          <w:lang w:val="en-GB"/>
        </w:rPr>
      </w:pPr>
    </w:p>
    <w:p w:rsidR="009E6799" w:rsidRPr="007F40A0" w:rsidRDefault="009E6799" w:rsidP="007F40A0">
      <w:pPr>
        <w:autoSpaceDE w:val="0"/>
        <w:autoSpaceDN w:val="0"/>
        <w:spacing w:after="160" w:line="276" w:lineRule="auto"/>
        <w:ind w:left="567" w:right="567"/>
        <w:contextualSpacing/>
        <w:jc w:val="both"/>
        <w:rPr>
          <w:rFonts w:ascii="Arial" w:hAnsi="Arial" w:cs="Arial"/>
          <w:bCs/>
          <w:lang w:val="en-ZA"/>
        </w:rPr>
      </w:pPr>
      <w:r w:rsidRPr="007F40A0">
        <w:rPr>
          <w:rFonts w:ascii="Arial" w:hAnsi="Arial" w:cs="Arial"/>
          <w:bCs/>
          <w:lang w:val="en-ZA"/>
        </w:rPr>
        <w:t>Ahead T</w:t>
      </w:r>
      <w:r w:rsidR="007F40A0" w:rsidRPr="007F40A0">
        <w:rPr>
          <w:rFonts w:ascii="Arial" w:hAnsi="Arial" w:cs="Arial"/>
          <w:bCs/>
          <w:lang w:val="en-ZA"/>
        </w:rPr>
        <w:t xml:space="preserve">rading operates the 28 outlets in those province, </w:t>
      </w:r>
      <w:r w:rsidRPr="007F40A0">
        <w:rPr>
          <w:rFonts w:ascii="Arial" w:hAnsi="Arial" w:cs="Arial"/>
          <w:bCs/>
          <w:lang w:val="en-ZA"/>
        </w:rPr>
        <w:t>while Six Sense operates the Marketing Business which performs marketing fu</w:t>
      </w:r>
      <w:r w:rsidR="00CB4CCC">
        <w:rPr>
          <w:rFonts w:ascii="Arial" w:hAnsi="Arial" w:cs="Arial"/>
          <w:bCs/>
          <w:lang w:val="en-ZA"/>
        </w:rPr>
        <w:t xml:space="preserve">nctions for KFC Business. Ahead </w:t>
      </w:r>
      <w:proofErr w:type="gramStart"/>
      <w:r w:rsidRPr="007F40A0">
        <w:rPr>
          <w:rFonts w:ascii="Arial" w:hAnsi="Arial" w:cs="Arial"/>
          <w:bCs/>
          <w:lang w:val="en-ZA"/>
        </w:rPr>
        <w:t>Trading</w:t>
      </w:r>
      <w:proofErr w:type="gramEnd"/>
      <w:r w:rsidR="007F40A0" w:rsidRPr="007F40A0">
        <w:rPr>
          <w:rFonts w:ascii="Arial" w:hAnsi="Arial" w:cs="Arial"/>
          <w:bCs/>
          <w:lang w:val="en-ZA"/>
        </w:rPr>
        <w:t xml:space="preserve"> runs </w:t>
      </w:r>
      <w:r w:rsidRPr="007F40A0">
        <w:rPr>
          <w:rFonts w:ascii="Arial" w:hAnsi="Arial" w:cs="Arial"/>
          <w:bCs/>
          <w:lang w:val="en-ZA"/>
        </w:rPr>
        <w:t>also has interests in livestock farming.</w:t>
      </w:r>
    </w:p>
    <w:p w:rsidR="009E6799" w:rsidRPr="007F40A0" w:rsidRDefault="009E6799" w:rsidP="007F40A0">
      <w:pPr>
        <w:spacing w:line="276" w:lineRule="auto"/>
        <w:ind w:left="567" w:right="567"/>
        <w:jc w:val="both"/>
        <w:rPr>
          <w:rFonts w:ascii="Arial" w:hAnsi="Arial" w:cs="Arial"/>
          <w:lang w:val="en-GB"/>
        </w:rPr>
      </w:pPr>
    </w:p>
    <w:p w:rsidR="00A10CD5" w:rsidRPr="007F40A0" w:rsidRDefault="009E6799" w:rsidP="007F40A0">
      <w:pPr>
        <w:autoSpaceDE w:val="0"/>
        <w:autoSpaceDN w:val="0"/>
        <w:spacing w:after="160" w:line="276" w:lineRule="auto"/>
        <w:ind w:left="567" w:right="567"/>
        <w:contextualSpacing/>
        <w:jc w:val="both"/>
        <w:rPr>
          <w:rFonts w:ascii="Arial" w:hAnsi="Arial" w:cs="Arial"/>
          <w:bCs/>
          <w:lang w:val="en-ZA"/>
        </w:rPr>
      </w:pPr>
      <w:r w:rsidRPr="007F40A0">
        <w:rPr>
          <w:rFonts w:ascii="Arial" w:hAnsi="Arial" w:cs="Arial"/>
          <w:lang w:val="en-GB"/>
        </w:rPr>
        <w:t>The merger has been approved</w:t>
      </w:r>
      <w:r w:rsidR="007F40A0" w:rsidRPr="007F40A0">
        <w:rPr>
          <w:rFonts w:ascii="Arial" w:hAnsi="Arial" w:cs="Arial"/>
          <w:lang w:val="en-GB"/>
        </w:rPr>
        <w:t xml:space="preserve"> by the Tribunal </w:t>
      </w:r>
      <w:r w:rsidRPr="007F40A0">
        <w:rPr>
          <w:rFonts w:ascii="Arial" w:hAnsi="Arial" w:cs="Arial"/>
          <w:lang w:val="en-GB"/>
        </w:rPr>
        <w:t xml:space="preserve">without conditions. </w:t>
      </w:r>
    </w:p>
    <w:p w:rsidR="00CB2C83" w:rsidRPr="007F40A0" w:rsidRDefault="00CB2C83" w:rsidP="007F40A0">
      <w:pPr>
        <w:autoSpaceDE w:val="0"/>
        <w:autoSpaceDN w:val="0"/>
        <w:spacing w:after="160" w:line="276" w:lineRule="auto"/>
        <w:ind w:left="567" w:right="567"/>
        <w:contextualSpacing/>
        <w:jc w:val="both"/>
        <w:rPr>
          <w:rFonts w:ascii="Arial" w:hAnsi="Arial" w:cs="Arial"/>
          <w:bCs/>
          <w:lang w:val="en-ZA"/>
        </w:rPr>
      </w:pPr>
    </w:p>
    <w:p w:rsidR="00842282" w:rsidRPr="007F40A0" w:rsidRDefault="00CB1AB0" w:rsidP="007F40A0">
      <w:pPr>
        <w:autoSpaceDE w:val="0"/>
        <w:autoSpaceDN w:val="0"/>
        <w:spacing w:after="160" w:line="276" w:lineRule="auto"/>
        <w:ind w:left="567" w:right="567"/>
        <w:contextualSpacing/>
        <w:jc w:val="both"/>
        <w:rPr>
          <w:rFonts w:ascii="Arial" w:hAnsi="Arial" w:cs="Arial"/>
          <w:b/>
          <w:bCs/>
          <w:lang w:val="en-ZA"/>
        </w:rPr>
      </w:pPr>
      <w:r w:rsidRPr="007F40A0">
        <w:rPr>
          <w:rFonts w:ascii="Arial" w:hAnsi="Arial" w:cs="Arial"/>
          <w:b/>
          <w:bCs/>
          <w:lang w:val="en-ZA"/>
        </w:rPr>
        <w:t xml:space="preserve">Tribunal has </w:t>
      </w:r>
      <w:r w:rsidR="00CB4CCC">
        <w:rPr>
          <w:rFonts w:ascii="Arial" w:hAnsi="Arial" w:cs="Arial"/>
          <w:b/>
          <w:bCs/>
          <w:lang w:val="en-ZA"/>
        </w:rPr>
        <w:t xml:space="preserve">conditionally </w:t>
      </w:r>
      <w:r w:rsidRPr="007F40A0">
        <w:rPr>
          <w:rFonts w:ascii="Arial" w:hAnsi="Arial" w:cs="Arial"/>
          <w:b/>
          <w:bCs/>
          <w:lang w:val="en-ZA"/>
        </w:rPr>
        <w:t xml:space="preserve">approved merger of </w:t>
      </w:r>
      <w:proofErr w:type="spellStart"/>
      <w:r w:rsidR="00842282" w:rsidRPr="007F40A0">
        <w:rPr>
          <w:rFonts w:ascii="Arial" w:hAnsi="Arial" w:cs="Arial"/>
          <w:b/>
          <w:bCs/>
          <w:lang w:val="en-ZA"/>
        </w:rPr>
        <w:t>Libstar</w:t>
      </w:r>
      <w:proofErr w:type="spellEnd"/>
      <w:r w:rsidR="00842282" w:rsidRPr="007F40A0">
        <w:rPr>
          <w:rFonts w:ascii="Arial" w:hAnsi="Arial" w:cs="Arial"/>
          <w:b/>
          <w:bCs/>
          <w:lang w:val="en-ZA"/>
        </w:rPr>
        <w:t xml:space="preserve"> Operations with </w:t>
      </w:r>
      <w:proofErr w:type="spellStart"/>
      <w:r w:rsidR="00842282" w:rsidRPr="007F40A0">
        <w:rPr>
          <w:rFonts w:ascii="Arial" w:hAnsi="Arial" w:cs="Arial"/>
          <w:b/>
          <w:bCs/>
          <w:lang w:val="en-ZA"/>
        </w:rPr>
        <w:t>Sonnendal</w:t>
      </w:r>
      <w:proofErr w:type="spellEnd"/>
      <w:r w:rsidR="00842282" w:rsidRPr="007F40A0">
        <w:rPr>
          <w:rFonts w:ascii="Arial" w:hAnsi="Arial" w:cs="Arial"/>
          <w:b/>
          <w:bCs/>
          <w:lang w:val="en-ZA"/>
        </w:rPr>
        <w:t xml:space="preserve"> Dairies </w:t>
      </w:r>
    </w:p>
    <w:p w:rsidR="00CB1AB0" w:rsidRPr="007F40A0" w:rsidRDefault="00CB1AB0" w:rsidP="007F40A0">
      <w:pPr>
        <w:autoSpaceDE w:val="0"/>
        <w:autoSpaceDN w:val="0"/>
        <w:spacing w:after="160" w:line="276" w:lineRule="auto"/>
        <w:ind w:left="567" w:right="567"/>
        <w:contextualSpacing/>
        <w:jc w:val="both"/>
        <w:rPr>
          <w:rFonts w:ascii="Arial" w:hAnsi="Arial" w:cs="Arial"/>
          <w:b/>
          <w:bCs/>
          <w:lang w:val="en-ZA"/>
        </w:rPr>
      </w:pPr>
    </w:p>
    <w:p w:rsidR="00842282" w:rsidRPr="007F40A0" w:rsidRDefault="007F40A0" w:rsidP="007F40A0">
      <w:pPr>
        <w:shd w:val="clear" w:color="auto" w:fill="FFFFFF"/>
        <w:spacing w:after="210" w:line="276" w:lineRule="auto"/>
        <w:ind w:left="567" w:right="567"/>
        <w:textAlignment w:val="baseline"/>
        <w:rPr>
          <w:rFonts w:ascii="Arial" w:hAnsi="Arial" w:cs="Arial"/>
          <w:shd w:val="clear" w:color="auto" w:fill="FFFFFF"/>
          <w:lang w:val="en-ZA"/>
        </w:rPr>
      </w:pPr>
      <w:r w:rsidRPr="007F40A0">
        <w:rPr>
          <w:rFonts w:ascii="Arial" w:hAnsi="Arial" w:cs="Arial"/>
          <w:shd w:val="clear" w:color="auto" w:fill="FFFFFF"/>
          <w:lang w:val="en-ZA"/>
        </w:rPr>
        <w:t xml:space="preserve">The Tribunal has approved with a condition the </w:t>
      </w:r>
      <w:r w:rsidR="00CB1AB0" w:rsidRPr="007F40A0">
        <w:rPr>
          <w:rFonts w:ascii="Arial" w:hAnsi="Arial" w:cs="Arial"/>
          <w:shd w:val="clear" w:color="auto" w:fill="FFFFFF"/>
          <w:lang w:val="en-ZA"/>
        </w:rPr>
        <w:t xml:space="preserve">merger of </w:t>
      </w:r>
      <w:proofErr w:type="spellStart"/>
      <w:r w:rsidR="00842282" w:rsidRPr="007F40A0">
        <w:rPr>
          <w:rFonts w:ascii="Arial" w:hAnsi="Arial" w:cs="Arial"/>
          <w:shd w:val="clear" w:color="auto" w:fill="FFFFFF"/>
          <w:lang w:val="en-ZA"/>
        </w:rPr>
        <w:t>Libstar</w:t>
      </w:r>
      <w:proofErr w:type="spellEnd"/>
      <w:r w:rsidR="00842282" w:rsidRPr="007F40A0">
        <w:rPr>
          <w:rFonts w:ascii="Arial" w:hAnsi="Arial" w:cs="Arial"/>
          <w:shd w:val="clear" w:color="auto" w:fill="FFFFFF"/>
          <w:lang w:val="en-ZA"/>
        </w:rPr>
        <w:t xml:space="preserve"> Operations, with interest in firms that manufacture, import and distribute fast moving consumer goods in the food and beverage households and personal care, with </w:t>
      </w:r>
      <w:r w:rsidRPr="007F40A0">
        <w:rPr>
          <w:rFonts w:ascii="Arial" w:hAnsi="Arial" w:cs="Arial"/>
          <w:shd w:val="clear" w:color="auto" w:fill="FFFFFF"/>
          <w:lang w:val="en-ZA"/>
        </w:rPr>
        <w:t xml:space="preserve">target firm </w:t>
      </w:r>
      <w:proofErr w:type="spellStart"/>
      <w:r w:rsidR="00842282" w:rsidRPr="007F40A0">
        <w:rPr>
          <w:rFonts w:ascii="Arial" w:hAnsi="Arial" w:cs="Arial"/>
          <w:shd w:val="clear" w:color="auto" w:fill="FFFFFF"/>
          <w:lang w:val="en-ZA"/>
        </w:rPr>
        <w:t>Sonnendal</w:t>
      </w:r>
      <w:proofErr w:type="spellEnd"/>
      <w:r w:rsidR="00842282" w:rsidRPr="007F40A0">
        <w:rPr>
          <w:rFonts w:ascii="Arial" w:hAnsi="Arial" w:cs="Arial"/>
          <w:shd w:val="clear" w:color="auto" w:fill="FFFFFF"/>
          <w:lang w:val="en-ZA"/>
        </w:rPr>
        <w:t xml:space="preserve"> Dairies</w:t>
      </w:r>
      <w:r w:rsidR="00CB1AB0" w:rsidRPr="007F40A0">
        <w:rPr>
          <w:rFonts w:ascii="Arial" w:hAnsi="Arial" w:cs="Arial"/>
          <w:shd w:val="clear" w:color="auto" w:fill="FFFFFF"/>
          <w:lang w:val="en-ZA"/>
        </w:rPr>
        <w:t xml:space="preserve"> from </w:t>
      </w:r>
      <w:proofErr w:type="spellStart"/>
      <w:r w:rsidR="00CB1AB0" w:rsidRPr="007F40A0">
        <w:rPr>
          <w:rFonts w:ascii="Arial" w:hAnsi="Arial" w:cs="Arial"/>
          <w:shd w:val="clear" w:color="auto" w:fill="FFFFFF"/>
          <w:lang w:val="en-ZA"/>
        </w:rPr>
        <w:t>Sontic</w:t>
      </w:r>
      <w:proofErr w:type="spellEnd"/>
      <w:r w:rsidR="00CB1AB0" w:rsidRPr="007F40A0">
        <w:rPr>
          <w:rFonts w:ascii="Arial" w:hAnsi="Arial" w:cs="Arial"/>
          <w:shd w:val="clear" w:color="auto" w:fill="FFFFFF"/>
          <w:lang w:val="en-ZA"/>
        </w:rPr>
        <w:t xml:space="preserve"> Holdings Western Cape</w:t>
      </w:r>
      <w:r w:rsidRPr="007F40A0">
        <w:rPr>
          <w:rFonts w:ascii="Arial" w:hAnsi="Arial" w:cs="Arial"/>
          <w:shd w:val="clear" w:color="auto" w:fill="FFFFFF"/>
          <w:lang w:val="en-ZA"/>
        </w:rPr>
        <w:t>.</w:t>
      </w:r>
    </w:p>
    <w:p w:rsidR="00CB1AB0" w:rsidRPr="007F40A0" w:rsidRDefault="00842282" w:rsidP="007F40A0">
      <w:pPr>
        <w:shd w:val="clear" w:color="auto" w:fill="FFFFFF"/>
        <w:spacing w:line="276" w:lineRule="auto"/>
        <w:ind w:left="567" w:right="567"/>
        <w:jc w:val="both"/>
        <w:rPr>
          <w:rFonts w:ascii="Arial" w:hAnsi="Arial" w:cs="Arial"/>
          <w:lang w:val="en-GB"/>
        </w:rPr>
      </w:pPr>
      <w:proofErr w:type="spellStart"/>
      <w:r w:rsidRPr="007F40A0">
        <w:rPr>
          <w:rFonts w:ascii="Arial" w:hAnsi="Arial" w:cs="Arial"/>
          <w:shd w:val="clear" w:color="auto" w:fill="FFFFFF"/>
          <w:lang w:val="en-ZA"/>
        </w:rPr>
        <w:t>Libstar</w:t>
      </w:r>
      <w:proofErr w:type="spellEnd"/>
      <w:r w:rsidRPr="007F40A0">
        <w:rPr>
          <w:rFonts w:ascii="Arial" w:hAnsi="Arial" w:cs="Arial"/>
          <w:shd w:val="clear" w:color="auto" w:fill="FFFFFF"/>
          <w:lang w:val="en-ZA"/>
        </w:rPr>
        <w:t xml:space="preserve"> is a holding company, controlled by private equity funds, and controls a number of companies in South Africa.  </w:t>
      </w:r>
      <w:r w:rsidR="00CB1AB0" w:rsidRPr="007F40A0">
        <w:rPr>
          <w:rFonts w:ascii="Arial" w:hAnsi="Arial" w:cs="Arial"/>
          <w:lang w:val="en-GB"/>
        </w:rPr>
        <w:t xml:space="preserve">The </w:t>
      </w:r>
      <w:proofErr w:type="spellStart"/>
      <w:r w:rsidR="00CB1AB0" w:rsidRPr="007F40A0">
        <w:rPr>
          <w:rFonts w:ascii="Arial" w:hAnsi="Arial" w:cs="Arial"/>
          <w:lang w:val="en-GB"/>
        </w:rPr>
        <w:t>Libstar</w:t>
      </w:r>
      <w:proofErr w:type="spellEnd"/>
      <w:r w:rsidR="00CB1AB0" w:rsidRPr="007F40A0">
        <w:rPr>
          <w:rFonts w:ascii="Arial" w:hAnsi="Arial" w:cs="Arial"/>
          <w:lang w:val="en-GB"/>
        </w:rPr>
        <w:t xml:space="preserve"> Group focuses on supplying the food service industry, private label segments of larger retailers, and on the manufacturing of products for brand owners as well as branded products.</w:t>
      </w:r>
    </w:p>
    <w:p w:rsidR="007F40A0" w:rsidRPr="007F40A0" w:rsidRDefault="007F40A0" w:rsidP="007F40A0">
      <w:pPr>
        <w:shd w:val="clear" w:color="auto" w:fill="FFFFFF"/>
        <w:spacing w:after="210" w:line="276" w:lineRule="auto"/>
        <w:ind w:left="567" w:right="567"/>
        <w:textAlignment w:val="baseline"/>
        <w:rPr>
          <w:rFonts w:ascii="Arial" w:hAnsi="Arial" w:cs="Arial"/>
          <w:shd w:val="clear" w:color="auto" w:fill="FFFFFF"/>
          <w:lang w:val="en-ZA"/>
        </w:rPr>
      </w:pPr>
    </w:p>
    <w:p w:rsidR="00CB1AB0" w:rsidRPr="007F40A0" w:rsidRDefault="00842282" w:rsidP="007F40A0">
      <w:pPr>
        <w:shd w:val="clear" w:color="auto" w:fill="FFFFFF"/>
        <w:spacing w:after="210" w:line="276" w:lineRule="auto"/>
        <w:ind w:left="567" w:right="567"/>
        <w:textAlignment w:val="baseline"/>
        <w:rPr>
          <w:rFonts w:ascii="Arial" w:hAnsi="Arial" w:cs="Arial"/>
          <w:shd w:val="clear" w:color="auto" w:fill="FFFFFF"/>
          <w:lang w:val="en-ZA"/>
        </w:rPr>
      </w:pPr>
      <w:proofErr w:type="spellStart"/>
      <w:r w:rsidRPr="007F40A0">
        <w:rPr>
          <w:rFonts w:ascii="Arial" w:hAnsi="Arial" w:cs="Arial"/>
          <w:shd w:val="clear" w:color="auto" w:fill="FFFFFF"/>
          <w:lang w:val="en-ZA"/>
        </w:rPr>
        <w:t>Sonnendal</w:t>
      </w:r>
      <w:proofErr w:type="spellEnd"/>
      <w:r w:rsidRPr="007F40A0">
        <w:rPr>
          <w:rFonts w:ascii="Arial" w:hAnsi="Arial" w:cs="Arial"/>
          <w:shd w:val="clear" w:color="auto" w:fill="FFFFFF"/>
          <w:lang w:val="en-ZA"/>
        </w:rPr>
        <w:t xml:space="preserve"> Dairies manufacturer and distributor of dairy and related products. Its main offering is yoghurt but it also manufactures and distributes a range of fruit juice products. Post-merger Libstar will control </w:t>
      </w:r>
      <w:proofErr w:type="spellStart"/>
      <w:r w:rsidRPr="007F40A0">
        <w:rPr>
          <w:rFonts w:ascii="Arial" w:hAnsi="Arial" w:cs="Arial"/>
          <w:shd w:val="clear" w:color="auto" w:fill="FFFFFF"/>
          <w:lang w:val="en-ZA"/>
        </w:rPr>
        <w:t>Sonnendal</w:t>
      </w:r>
      <w:proofErr w:type="spellEnd"/>
      <w:r w:rsidRPr="007F40A0">
        <w:rPr>
          <w:rFonts w:ascii="Arial" w:hAnsi="Arial" w:cs="Arial"/>
          <w:shd w:val="clear" w:color="auto" w:fill="FFFFFF"/>
          <w:lang w:val="en-ZA"/>
        </w:rPr>
        <w:t xml:space="preserve"> Dairies.</w:t>
      </w:r>
    </w:p>
    <w:p w:rsidR="002846FE" w:rsidRPr="007F40A0" w:rsidRDefault="00CB1AB0" w:rsidP="007F40A0">
      <w:pPr>
        <w:shd w:val="clear" w:color="auto" w:fill="FFFFFF"/>
        <w:spacing w:line="276" w:lineRule="auto"/>
        <w:ind w:left="567" w:right="567"/>
        <w:jc w:val="both"/>
        <w:rPr>
          <w:rFonts w:ascii="Arial" w:hAnsi="Arial" w:cs="Arial"/>
          <w:lang w:val="en-GB"/>
        </w:rPr>
      </w:pPr>
      <w:r w:rsidRPr="007F40A0">
        <w:rPr>
          <w:rFonts w:ascii="Arial" w:hAnsi="Arial" w:cs="Arial"/>
          <w:lang w:val="en-GB"/>
        </w:rPr>
        <w:t>Following its investigation into the proposed transaction, the Commission</w:t>
      </w:r>
      <w:r w:rsidRPr="007F40A0">
        <w:rPr>
          <w:rFonts w:ascii="Arial" w:hAnsi="Arial" w:cs="Arial"/>
          <w:lang w:val="en-GB"/>
        </w:rPr>
        <w:t xml:space="preserve"> was if the view that </w:t>
      </w:r>
      <w:r w:rsidR="007F40A0" w:rsidRPr="007F40A0">
        <w:rPr>
          <w:rFonts w:ascii="Arial" w:hAnsi="Arial" w:cs="Arial"/>
          <w:lang w:val="en-GB"/>
        </w:rPr>
        <w:t xml:space="preserve">the </w:t>
      </w:r>
      <w:r w:rsidRPr="007F40A0">
        <w:rPr>
          <w:rFonts w:ascii="Arial" w:hAnsi="Arial" w:cs="Arial"/>
          <w:lang w:val="en-GB"/>
        </w:rPr>
        <w:t xml:space="preserve">restraint of clause </w:t>
      </w:r>
      <w:r w:rsidRPr="007F40A0">
        <w:rPr>
          <w:rFonts w:ascii="Arial" w:hAnsi="Arial" w:cs="Arial"/>
          <w:lang w:val="en-GB"/>
        </w:rPr>
        <w:t>in the agreement was</w:t>
      </w:r>
      <w:r w:rsidRPr="007F40A0">
        <w:rPr>
          <w:rFonts w:ascii="Arial" w:hAnsi="Arial" w:cs="Arial"/>
          <w:lang w:val="en-GB"/>
        </w:rPr>
        <w:t xml:space="preserve"> </w:t>
      </w:r>
      <w:r w:rsidRPr="007F40A0">
        <w:rPr>
          <w:rFonts w:ascii="Arial" w:hAnsi="Arial" w:cs="Arial"/>
          <w:lang w:val="en-GB"/>
        </w:rPr>
        <w:t>unreasonable in that it prevented</w:t>
      </w:r>
      <w:r w:rsidRPr="007F40A0">
        <w:rPr>
          <w:rFonts w:ascii="Arial" w:hAnsi="Arial" w:cs="Arial"/>
          <w:lang w:val="en-GB"/>
        </w:rPr>
        <w:t xml:space="preserve"> </w:t>
      </w:r>
      <w:proofErr w:type="spellStart"/>
      <w:r w:rsidRPr="007F40A0">
        <w:rPr>
          <w:rFonts w:ascii="Arial" w:hAnsi="Arial" w:cs="Arial"/>
          <w:lang w:val="en-GB"/>
        </w:rPr>
        <w:t>Sonnendal</w:t>
      </w:r>
      <w:proofErr w:type="spellEnd"/>
      <w:r w:rsidRPr="007F40A0">
        <w:rPr>
          <w:rFonts w:ascii="Arial" w:hAnsi="Arial" w:cs="Arial"/>
          <w:lang w:val="en-GB"/>
        </w:rPr>
        <w:t xml:space="preserve"> from competing nationally. </w:t>
      </w:r>
      <w:r w:rsidRPr="007F40A0">
        <w:rPr>
          <w:rFonts w:ascii="Arial" w:hAnsi="Arial" w:cs="Arial"/>
          <w:lang w:val="en-GB"/>
        </w:rPr>
        <w:t>Commission</w:t>
      </w:r>
      <w:r w:rsidRPr="007F40A0">
        <w:rPr>
          <w:rFonts w:ascii="Arial" w:hAnsi="Arial" w:cs="Arial"/>
          <w:lang w:val="en-GB"/>
        </w:rPr>
        <w:t xml:space="preserve"> said left in its current form that agreement was likely </w:t>
      </w:r>
      <w:r w:rsidRPr="007F40A0">
        <w:rPr>
          <w:rFonts w:ascii="Arial" w:hAnsi="Arial" w:cs="Arial"/>
          <w:lang w:val="en-GB"/>
        </w:rPr>
        <w:t xml:space="preserve">to substantially prevent or lessen competition. </w:t>
      </w:r>
    </w:p>
    <w:p w:rsidR="002846FE" w:rsidRPr="007F40A0" w:rsidRDefault="002846FE" w:rsidP="007F40A0">
      <w:pPr>
        <w:shd w:val="clear" w:color="auto" w:fill="FFFFFF"/>
        <w:spacing w:line="276" w:lineRule="auto"/>
        <w:ind w:left="567" w:right="567"/>
        <w:jc w:val="both"/>
        <w:rPr>
          <w:rFonts w:ascii="Arial" w:hAnsi="Arial" w:cs="Arial"/>
          <w:lang w:val="en-GB"/>
        </w:rPr>
      </w:pPr>
    </w:p>
    <w:p w:rsidR="00CB1AB0" w:rsidRPr="007F40A0" w:rsidRDefault="002846FE" w:rsidP="007F40A0">
      <w:pPr>
        <w:shd w:val="clear" w:color="auto" w:fill="FFFFFF"/>
        <w:spacing w:line="276" w:lineRule="auto"/>
        <w:ind w:left="567" w:right="567"/>
        <w:jc w:val="both"/>
        <w:rPr>
          <w:rFonts w:ascii="Arial" w:hAnsi="Arial" w:cs="Arial"/>
          <w:lang w:val="en-GB"/>
        </w:rPr>
      </w:pPr>
      <w:r w:rsidRPr="007F40A0">
        <w:rPr>
          <w:rFonts w:ascii="Arial" w:hAnsi="Arial" w:cs="Arial"/>
          <w:lang w:val="en-GB"/>
        </w:rPr>
        <w:t>The Tribunal approved the c</w:t>
      </w:r>
      <w:r w:rsidR="007F40A0" w:rsidRPr="007F40A0">
        <w:rPr>
          <w:rFonts w:ascii="Arial" w:hAnsi="Arial" w:cs="Arial"/>
          <w:lang w:val="en-GB"/>
        </w:rPr>
        <w:t xml:space="preserve">ondition whereby </w:t>
      </w:r>
      <w:proofErr w:type="spellStart"/>
      <w:r w:rsidR="007F40A0" w:rsidRPr="007F40A0">
        <w:rPr>
          <w:rFonts w:ascii="Arial" w:hAnsi="Arial" w:cs="Arial"/>
          <w:lang w:val="en-GB"/>
        </w:rPr>
        <w:t>Sonnendal</w:t>
      </w:r>
      <w:proofErr w:type="spellEnd"/>
      <w:r w:rsidR="007F40A0" w:rsidRPr="007F40A0">
        <w:rPr>
          <w:rFonts w:ascii="Arial" w:hAnsi="Arial" w:cs="Arial"/>
          <w:lang w:val="en-GB"/>
        </w:rPr>
        <w:t xml:space="preserve"> will</w:t>
      </w:r>
      <w:r w:rsidRPr="007F40A0">
        <w:rPr>
          <w:rFonts w:ascii="Arial" w:hAnsi="Arial" w:cs="Arial"/>
          <w:lang w:val="en-GB"/>
        </w:rPr>
        <w:t xml:space="preserve"> continue to operate in the </w:t>
      </w:r>
      <w:r w:rsidR="007F40A0" w:rsidRPr="007F40A0">
        <w:rPr>
          <w:rFonts w:ascii="Arial" w:hAnsi="Arial" w:cs="Arial"/>
          <w:lang w:val="en-GB"/>
        </w:rPr>
        <w:t>Western Cape where</w:t>
      </w:r>
      <w:r w:rsidRPr="007F40A0">
        <w:rPr>
          <w:rFonts w:ascii="Arial" w:hAnsi="Arial" w:cs="Arial"/>
          <w:lang w:val="en-GB"/>
        </w:rPr>
        <w:t xml:space="preserve"> it predominantly operates, but will be prevented from operating nationally for a three year period. </w:t>
      </w:r>
    </w:p>
    <w:p w:rsidR="00CB1AB0" w:rsidRPr="007F40A0" w:rsidRDefault="00CB1AB0" w:rsidP="007F40A0">
      <w:pPr>
        <w:shd w:val="clear" w:color="auto" w:fill="FFFFFF"/>
        <w:spacing w:after="210" w:line="276" w:lineRule="auto"/>
        <w:ind w:left="567" w:right="567"/>
        <w:textAlignment w:val="baseline"/>
        <w:rPr>
          <w:rFonts w:ascii="Arial" w:hAnsi="Arial" w:cs="Arial"/>
          <w:lang w:val="en-GB"/>
        </w:rPr>
      </w:pPr>
    </w:p>
    <w:p w:rsidR="00842282" w:rsidRPr="007F40A0" w:rsidRDefault="007F40A0" w:rsidP="007F40A0">
      <w:pPr>
        <w:shd w:val="clear" w:color="auto" w:fill="FFFFFF"/>
        <w:spacing w:after="210" w:line="276" w:lineRule="auto"/>
        <w:ind w:left="567" w:right="567"/>
        <w:textAlignment w:val="baseline"/>
        <w:rPr>
          <w:rFonts w:ascii="Arial" w:hAnsi="Arial" w:cs="Arial"/>
          <w:b/>
          <w:shd w:val="clear" w:color="auto" w:fill="FFFFFF"/>
          <w:lang w:val="en-ZA"/>
        </w:rPr>
      </w:pPr>
      <w:r w:rsidRPr="007F40A0">
        <w:rPr>
          <w:rFonts w:ascii="Arial" w:hAnsi="Arial" w:cs="Arial"/>
          <w:b/>
          <w:shd w:val="clear" w:color="auto" w:fill="FFFFFF"/>
          <w:lang w:val="en-ZA"/>
        </w:rPr>
        <w:t xml:space="preserve">Merger between </w:t>
      </w:r>
      <w:proofErr w:type="spellStart"/>
      <w:r w:rsidRPr="007F40A0">
        <w:rPr>
          <w:rFonts w:ascii="Arial" w:hAnsi="Arial" w:cs="Arial"/>
          <w:b/>
          <w:shd w:val="clear" w:color="auto" w:fill="FFFFFF"/>
          <w:lang w:val="en-ZA"/>
        </w:rPr>
        <w:t>Golden</w:t>
      </w:r>
      <w:r w:rsidR="00842282" w:rsidRPr="007F40A0">
        <w:rPr>
          <w:rFonts w:ascii="Arial" w:hAnsi="Arial" w:cs="Arial"/>
          <w:b/>
          <w:shd w:val="clear" w:color="auto" w:fill="FFFFFF"/>
          <w:lang w:val="en-ZA"/>
        </w:rPr>
        <w:t>Tree</w:t>
      </w:r>
      <w:proofErr w:type="spellEnd"/>
      <w:r w:rsidR="00842282" w:rsidRPr="007F40A0">
        <w:rPr>
          <w:rFonts w:ascii="Arial" w:hAnsi="Arial" w:cs="Arial"/>
          <w:b/>
          <w:shd w:val="clear" w:color="auto" w:fill="FFFFFF"/>
          <w:lang w:val="en-ZA"/>
        </w:rPr>
        <w:t xml:space="preserve"> and MIC Leisure and casino operator Peermont </w:t>
      </w:r>
    </w:p>
    <w:p w:rsidR="009E6799" w:rsidRPr="007F40A0" w:rsidRDefault="009E6799" w:rsidP="00CB4CCC">
      <w:pPr>
        <w:spacing w:line="276" w:lineRule="auto"/>
        <w:ind w:left="567" w:right="567"/>
        <w:contextualSpacing/>
        <w:rPr>
          <w:rFonts w:ascii="Arial" w:hAnsi="Arial" w:cs="Arial"/>
          <w:lang w:val="en-GB"/>
        </w:rPr>
      </w:pPr>
      <w:r w:rsidRPr="007F40A0">
        <w:rPr>
          <w:rFonts w:ascii="Arial" w:hAnsi="Arial" w:cs="Arial"/>
          <w:lang w:val="en-GB"/>
        </w:rPr>
        <w:t xml:space="preserve">The Tribunal has approved a transaction without conditions whereby </w:t>
      </w:r>
      <w:proofErr w:type="spellStart"/>
      <w:r w:rsidRPr="007F40A0">
        <w:rPr>
          <w:rFonts w:ascii="Arial" w:hAnsi="Arial" w:cs="Arial"/>
          <w:lang w:val="en-GB"/>
        </w:rPr>
        <w:t>GoldenTree</w:t>
      </w:r>
      <w:proofErr w:type="spellEnd"/>
      <w:r w:rsidRPr="007F40A0">
        <w:rPr>
          <w:rFonts w:ascii="Arial" w:hAnsi="Arial" w:cs="Arial"/>
          <w:lang w:val="en-GB"/>
        </w:rPr>
        <w:t xml:space="preserve"> Asset Management LP (</w:t>
      </w:r>
      <w:proofErr w:type="spellStart"/>
      <w:r w:rsidRPr="007F40A0">
        <w:rPr>
          <w:rFonts w:ascii="Arial" w:hAnsi="Arial" w:cs="Arial"/>
          <w:lang w:val="en-GB"/>
        </w:rPr>
        <w:t>GoldenTree</w:t>
      </w:r>
      <w:proofErr w:type="spellEnd"/>
      <w:r w:rsidRPr="007F40A0">
        <w:rPr>
          <w:rFonts w:ascii="Arial" w:hAnsi="Arial" w:cs="Arial"/>
          <w:lang w:val="en-GB"/>
        </w:rPr>
        <w:t xml:space="preserve">) and MIC Leisure (Pty) Ltd (MIC Leisure) </w:t>
      </w:r>
      <w:r w:rsidRPr="007F40A0">
        <w:rPr>
          <w:rFonts w:ascii="Arial" w:hAnsi="Arial" w:cs="Arial"/>
          <w:lang w:val="en-GB"/>
        </w:rPr>
        <w:t>will</w:t>
      </w:r>
      <w:r w:rsidRPr="007F40A0">
        <w:rPr>
          <w:rFonts w:ascii="Arial" w:hAnsi="Arial" w:cs="Arial"/>
          <w:lang w:val="en-GB"/>
        </w:rPr>
        <w:t xml:space="preserve"> acquire additional shares in </w:t>
      </w:r>
      <w:proofErr w:type="spellStart"/>
      <w:r w:rsidRPr="007F40A0">
        <w:rPr>
          <w:rFonts w:ascii="Arial" w:hAnsi="Arial" w:cs="Arial"/>
          <w:lang w:val="en-GB"/>
        </w:rPr>
        <w:t>Peermont</w:t>
      </w:r>
      <w:proofErr w:type="spellEnd"/>
      <w:r w:rsidRPr="007F40A0">
        <w:rPr>
          <w:rFonts w:ascii="Arial" w:hAnsi="Arial" w:cs="Arial"/>
          <w:lang w:val="en-GB"/>
        </w:rPr>
        <w:t xml:space="preserve"> and thereby exercise </w:t>
      </w:r>
      <w:r w:rsidRPr="007F40A0">
        <w:rPr>
          <w:rFonts w:ascii="Arial" w:hAnsi="Arial" w:cs="Arial"/>
          <w:lang w:val="en-GB"/>
        </w:rPr>
        <w:t xml:space="preserve">joint </w:t>
      </w:r>
      <w:r w:rsidRPr="007F40A0">
        <w:rPr>
          <w:rFonts w:ascii="Arial" w:hAnsi="Arial" w:cs="Arial"/>
          <w:lang w:val="en-GB"/>
        </w:rPr>
        <w:t xml:space="preserve">control over </w:t>
      </w:r>
      <w:proofErr w:type="spellStart"/>
      <w:r w:rsidRPr="007F40A0">
        <w:rPr>
          <w:rFonts w:ascii="Arial" w:hAnsi="Arial" w:cs="Arial"/>
          <w:lang w:val="en-GB"/>
        </w:rPr>
        <w:t>Peermont</w:t>
      </w:r>
      <w:proofErr w:type="spellEnd"/>
      <w:r w:rsidRPr="007F40A0">
        <w:rPr>
          <w:rFonts w:ascii="Arial" w:hAnsi="Arial" w:cs="Arial"/>
          <w:lang w:val="en-GB"/>
        </w:rPr>
        <w:t>.</w:t>
      </w:r>
    </w:p>
    <w:p w:rsidR="009E6799" w:rsidRPr="007F40A0" w:rsidRDefault="009E6799" w:rsidP="00CB4CCC">
      <w:pPr>
        <w:spacing w:line="276" w:lineRule="auto"/>
        <w:ind w:left="567" w:right="567"/>
        <w:contextualSpacing/>
        <w:rPr>
          <w:rFonts w:ascii="Arial" w:hAnsi="Arial" w:cs="Arial"/>
          <w:lang w:val="en-GB"/>
        </w:rPr>
      </w:pPr>
    </w:p>
    <w:p w:rsidR="009E6799" w:rsidRPr="007F40A0" w:rsidRDefault="009E6799" w:rsidP="00CB4CCC">
      <w:pPr>
        <w:spacing w:line="276" w:lineRule="auto"/>
        <w:ind w:left="567" w:right="567"/>
        <w:jc w:val="both"/>
        <w:rPr>
          <w:rFonts w:ascii="Arial" w:hAnsi="Arial" w:cs="Arial"/>
          <w:lang w:val="en-GB"/>
        </w:rPr>
      </w:pPr>
      <w:proofErr w:type="spellStart"/>
      <w:r w:rsidRPr="007F40A0">
        <w:rPr>
          <w:rFonts w:ascii="Arial" w:hAnsi="Arial" w:cs="Arial"/>
          <w:lang w:val="en-GB"/>
        </w:rPr>
        <w:t>GoldenTree</w:t>
      </w:r>
      <w:proofErr w:type="spellEnd"/>
      <w:r w:rsidRPr="007F40A0">
        <w:rPr>
          <w:rFonts w:ascii="Arial" w:hAnsi="Arial" w:cs="Arial"/>
          <w:lang w:val="en-GB"/>
        </w:rPr>
        <w:t xml:space="preserve">, an American company, is an employee owned asset management firm specialising in credit opportunities across high yield bonds, leveraged loans, distressed debt, structured products, emerging markets and credit-themed equities. </w:t>
      </w:r>
      <w:proofErr w:type="spellStart"/>
      <w:r w:rsidRPr="007F40A0">
        <w:rPr>
          <w:rFonts w:ascii="Arial" w:hAnsi="Arial" w:cs="Arial"/>
          <w:lang w:val="en-GB"/>
        </w:rPr>
        <w:t>GoldenTree</w:t>
      </w:r>
      <w:proofErr w:type="spellEnd"/>
      <w:r w:rsidRPr="007F40A0">
        <w:rPr>
          <w:rFonts w:ascii="Arial" w:hAnsi="Arial" w:cs="Arial"/>
          <w:lang w:val="en-GB"/>
        </w:rPr>
        <w:t xml:space="preserve"> does not have investments in any companies in South Africa that compete with </w:t>
      </w:r>
      <w:proofErr w:type="spellStart"/>
      <w:r w:rsidRPr="007F40A0">
        <w:rPr>
          <w:rFonts w:ascii="Arial" w:hAnsi="Arial" w:cs="Arial"/>
          <w:lang w:val="en-GB"/>
        </w:rPr>
        <w:t>Peermont</w:t>
      </w:r>
      <w:proofErr w:type="spellEnd"/>
      <w:r w:rsidRPr="007F40A0">
        <w:rPr>
          <w:rFonts w:ascii="Arial" w:hAnsi="Arial" w:cs="Arial"/>
          <w:lang w:val="en-GB"/>
        </w:rPr>
        <w:t>.</w:t>
      </w:r>
    </w:p>
    <w:p w:rsidR="009E6799" w:rsidRPr="007F40A0" w:rsidRDefault="009E6799" w:rsidP="00CB4CCC">
      <w:pPr>
        <w:pStyle w:val="ListParagraph"/>
        <w:spacing w:line="276" w:lineRule="auto"/>
        <w:ind w:left="567" w:right="567"/>
        <w:jc w:val="both"/>
        <w:rPr>
          <w:rFonts w:ascii="Arial" w:hAnsi="Arial" w:cs="Arial"/>
          <w:lang w:val="en-ZA"/>
        </w:rPr>
      </w:pPr>
    </w:p>
    <w:p w:rsidR="009E6799" w:rsidRPr="007F40A0" w:rsidRDefault="009E6799" w:rsidP="00CB4CCC">
      <w:pPr>
        <w:spacing w:after="200" w:line="276" w:lineRule="auto"/>
        <w:ind w:left="567" w:right="567"/>
        <w:jc w:val="both"/>
        <w:rPr>
          <w:rFonts w:ascii="Arial" w:hAnsi="Arial" w:cs="Arial"/>
          <w:lang w:val="en-GB"/>
        </w:rPr>
      </w:pPr>
      <w:r w:rsidRPr="007F40A0">
        <w:rPr>
          <w:rFonts w:ascii="Arial" w:hAnsi="Arial" w:cs="Arial"/>
          <w:lang w:val="en-GB"/>
        </w:rPr>
        <w:t xml:space="preserve">MIC Leisure forms part </w:t>
      </w:r>
      <w:r w:rsidRPr="007F40A0">
        <w:rPr>
          <w:rFonts w:ascii="Arial" w:hAnsi="Arial" w:cs="Arial"/>
          <w:lang w:val="en-GB"/>
        </w:rPr>
        <w:t>MIC Group</w:t>
      </w:r>
      <w:r w:rsidRPr="007F40A0">
        <w:rPr>
          <w:rFonts w:ascii="Arial" w:hAnsi="Arial" w:cs="Arial"/>
          <w:lang w:val="en-GB"/>
        </w:rPr>
        <w:t xml:space="preserve">. MIC Leisure is a wholly owned subsidiary of the Mineworkers Investment Company (RF) (Pty) Ltd (MIC) which is, in turn, controlled by Mineworkers Investment Trust. The MIC Group invests in cash generative and growth assets that allow it to pay a sustainable dividend to MIT to fund social </w:t>
      </w:r>
      <w:proofErr w:type="spellStart"/>
      <w:r w:rsidRPr="007F40A0">
        <w:rPr>
          <w:rFonts w:ascii="Arial" w:hAnsi="Arial" w:cs="Arial"/>
          <w:lang w:val="en-GB"/>
        </w:rPr>
        <w:t>upliftment</w:t>
      </w:r>
      <w:proofErr w:type="spellEnd"/>
      <w:r w:rsidRPr="007F40A0">
        <w:rPr>
          <w:rFonts w:ascii="Arial" w:hAnsi="Arial" w:cs="Arial"/>
          <w:lang w:val="en-GB"/>
        </w:rPr>
        <w:t xml:space="preserve"> programs for energy and construction workers, and their dependents. </w:t>
      </w:r>
    </w:p>
    <w:p w:rsidR="009E6799" w:rsidRPr="007F40A0" w:rsidRDefault="009E6799" w:rsidP="00CB4CCC">
      <w:pPr>
        <w:spacing w:line="276" w:lineRule="auto"/>
        <w:ind w:left="567" w:right="567"/>
        <w:rPr>
          <w:rFonts w:ascii="Arial" w:hAnsi="Arial" w:cs="Arial"/>
          <w:lang w:val="en-GB"/>
        </w:rPr>
      </w:pPr>
      <w:proofErr w:type="spellStart"/>
      <w:r w:rsidRPr="007F40A0">
        <w:rPr>
          <w:rFonts w:ascii="Arial" w:hAnsi="Arial" w:cs="Arial"/>
          <w:lang w:val="en-GB"/>
        </w:rPr>
        <w:t>Peermont</w:t>
      </w:r>
      <w:proofErr w:type="spellEnd"/>
      <w:r w:rsidRPr="007F40A0">
        <w:rPr>
          <w:rFonts w:ascii="Arial" w:hAnsi="Arial" w:cs="Arial"/>
          <w:lang w:val="en-GB"/>
        </w:rPr>
        <w:t xml:space="preserve"> is a hotel a</w:t>
      </w:r>
      <w:r w:rsidRPr="007F40A0">
        <w:rPr>
          <w:rFonts w:ascii="Arial" w:hAnsi="Arial" w:cs="Arial"/>
          <w:lang w:val="en-GB"/>
        </w:rPr>
        <w:t xml:space="preserve">nd casino operator and controls eight </w:t>
      </w:r>
      <w:r w:rsidRPr="007F40A0">
        <w:rPr>
          <w:rFonts w:ascii="Arial" w:hAnsi="Arial" w:cs="Arial"/>
          <w:lang w:val="en-GB"/>
        </w:rPr>
        <w:t xml:space="preserve">casinos in South Africa. </w:t>
      </w:r>
      <w:proofErr w:type="spellStart"/>
      <w:r w:rsidRPr="007F40A0">
        <w:rPr>
          <w:rFonts w:ascii="Arial" w:hAnsi="Arial" w:cs="Arial"/>
          <w:lang w:val="en-GB"/>
        </w:rPr>
        <w:t>Peermont</w:t>
      </w:r>
      <w:proofErr w:type="spellEnd"/>
      <w:r w:rsidRPr="007F40A0">
        <w:rPr>
          <w:rFonts w:ascii="Arial" w:hAnsi="Arial" w:cs="Arial"/>
          <w:lang w:val="en-GB"/>
        </w:rPr>
        <w:t xml:space="preserve"> currently has a number of shareholders, none of whom controls </w:t>
      </w:r>
      <w:proofErr w:type="spellStart"/>
      <w:r w:rsidRPr="007F40A0">
        <w:rPr>
          <w:rFonts w:ascii="Arial" w:hAnsi="Arial" w:cs="Arial"/>
          <w:lang w:val="en-GB"/>
        </w:rPr>
        <w:t>Peermont</w:t>
      </w:r>
      <w:proofErr w:type="spellEnd"/>
      <w:r w:rsidRPr="007F40A0">
        <w:rPr>
          <w:rFonts w:ascii="Arial" w:hAnsi="Arial" w:cs="Arial"/>
          <w:lang w:val="en-GB"/>
        </w:rPr>
        <w:t xml:space="preserve">. Through </w:t>
      </w:r>
      <w:proofErr w:type="spellStart"/>
      <w:r w:rsidRPr="007F40A0">
        <w:rPr>
          <w:rFonts w:ascii="Arial" w:hAnsi="Arial" w:cs="Arial"/>
          <w:lang w:val="en-GB"/>
        </w:rPr>
        <w:t>Peermont</w:t>
      </w:r>
      <w:proofErr w:type="spellEnd"/>
      <w:r w:rsidRPr="007F40A0">
        <w:rPr>
          <w:rFonts w:ascii="Arial" w:hAnsi="Arial" w:cs="Arial"/>
          <w:lang w:val="en-GB"/>
        </w:rPr>
        <w:t xml:space="preserve"> Global and various subsidiaries, </w:t>
      </w:r>
      <w:proofErr w:type="spellStart"/>
      <w:r w:rsidRPr="007F40A0">
        <w:rPr>
          <w:rFonts w:ascii="Arial" w:hAnsi="Arial" w:cs="Arial"/>
          <w:lang w:val="en-GB"/>
        </w:rPr>
        <w:t>Peermont</w:t>
      </w:r>
      <w:proofErr w:type="spellEnd"/>
      <w:r w:rsidRPr="007F40A0">
        <w:rPr>
          <w:rFonts w:ascii="Arial" w:hAnsi="Arial" w:cs="Arial"/>
          <w:lang w:val="en-GB"/>
        </w:rPr>
        <w:t xml:space="preserve"> is a casino and hotel operator in South Africa and Botswana. </w:t>
      </w:r>
    </w:p>
    <w:p w:rsidR="003E6D12" w:rsidRPr="007F40A0" w:rsidRDefault="00305305" w:rsidP="00CB4CCC">
      <w:pPr>
        <w:spacing w:line="276" w:lineRule="auto"/>
        <w:ind w:left="567" w:right="567"/>
        <w:rPr>
          <w:rFonts w:ascii="Arial" w:hAnsi="Arial" w:cs="Arial"/>
        </w:rPr>
      </w:pPr>
    </w:p>
    <w:p w:rsidR="00AA298D" w:rsidRPr="007F40A0" w:rsidRDefault="00AA298D" w:rsidP="00CB4CCC">
      <w:pPr>
        <w:spacing w:line="276" w:lineRule="auto"/>
        <w:ind w:left="567" w:right="567"/>
        <w:jc w:val="both"/>
        <w:rPr>
          <w:rFonts w:ascii="Arial" w:hAnsi="Arial" w:cs="Arial"/>
          <w:lang w:val="en-ZA" w:eastAsia="en-ZA"/>
        </w:rPr>
      </w:pPr>
      <w:r w:rsidRPr="007F40A0">
        <w:rPr>
          <w:rFonts w:ascii="Arial" w:hAnsi="Arial" w:cs="Arial"/>
          <w:color w:val="000000"/>
          <w:lang w:val="en-ZA" w:eastAsia="en-ZA"/>
        </w:rPr>
        <w:t xml:space="preserve">Issued by: </w:t>
      </w:r>
    </w:p>
    <w:p w:rsidR="00AA298D" w:rsidRPr="007F40A0" w:rsidRDefault="00AA298D" w:rsidP="00CB4CCC">
      <w:pPr>
        <w:spacing w:line="276" w:lineRule="auto"/>
        <w:ind w:left="567" w:right="567"/>
        <w:jc w:val="both"/>
        <w:rPr>
          <w:rFonts w:ascii="Arial" w:hAnsi="Arial" w:cs="Arial"/>
          <w:color w:val="000000"/>
          <w:lang w:val="en-ZA" w:eastAsia="en-ZA"/>
        </w:rPr>
      </w:pPr>
      <w:r w:rsidRPr="007F40A0">
        <w:rPr>
          <w:rFonts w:ascii="Arial" w:hAnsi="Arial" w:cs="Arial"/>
          <w:color w:val="000000"/>
          <w:lang w:val="en-ZA" w:eastAsia="en-ZA"/>
        </w:rPr>
        <w:t xml:space="preserve">Chantelle Benjamin </w:t>
      </w:r>
    </w:p>
    <w:p w:rsidR="00AA298D" w:rsidRPr="007F40A0" w:rsidRDefault="00AA298D" w:rsidP="00CB4CCC">
      <w:pPr>
        <w:spacing w:line="276" w:lineRule="auto"/>
        <w:ind w:left="567" w:right="567"/>
        <w:jc w:val="both"/>
        <w:rPr>
          <w:rFonts w:ascii="Arial" w:hAnsi="Arial" w:cs="Arial"/>
          <w:color w:val="000000"/>
          <w:lang w:val="en-ZA" w:eastAsia="en-ZA"/>
        </w:rPr>
      </w:pPr>
      <w:r w:rsidRPr="007F40A0">
        <w:rPr>
          <w:rFonts w:ascii="Arial" w:hAnsi="Arial" w:cs="Arial"/>
          <w:color w:val="000000"/>
          <w:lang w:val="en-ZA" w:eastAsia="en-ZA"/>
        </w:rPr>
        <w:t>Communications: Competition Tribunal   </w:t>
      </w:r>
    </w:p>
    <w:p w:rsidR="00AA298D" w:rsidRPr="007F40A0" w:rsidRDefault="00AA298D" w:rsidP="00CB4CCC">
      <w:pPr>
        <w:spacing w:line="276" w:lineRule="auto"/>
        <w:ind w:left="567" w:right="567"/>
        <w:jc w:val="both"/>
        <w:rPr>
          <w:rFonts w:ascii="Arial" w:hAnsi="Arial" w:cs="Arial"/>
          <w:color w:val="000000"/>
          <w:lang w:val="en-ZA" w:eastAsia="en-ZA"/>
        </w:rPr>
      </w:pPr>
      <w:r w:rsidRPr="007F40A0">
        <w:rPr>
          <w:rFonts w:ascii="Arial" w:hAnsi="Arial" w:cs="Arial"/>
          <w:color w:val="000000"/>
          <w:lang w:val="en-ZA" w:eastAsia="en-ZA"/>
        </w:rPr>
        <w:t xml:space="preserve">Tel (012)394 1383                                      </w:t>
      </w:r>
    </w:p>
    <w:p w:rsidR="00AA298D" w:rsidRPr="007F40A0" w:rsidRDefault="00AA298D" w:rsidP="00CB4CCC">
      <w:pPr>
        <w:spacing w:line="276" w:lineRule="auto"/>
        <w:ind w:left="567" w:right="567"/>
        <w:jc w:val="both"/>
        <w:rPr>
          <w:rFonts w:ascii="Arial" w:hAnsi="Arial" w:cs="Arial"/>
          <w:color w:val="000000"/>
          <w:lang w:val="en-ZA" w:eastAsia="en-ZA"/>
        </w:rPr>
      </w:pPr>
      <w:r w:rsidRPr="007F40A0">
        <w:rPr>
          <w:rFonts w:ascii="Arial" w:hAnsi="Arial" w:cs="Arial"/>
          <w:color w:val="000000"/>
          <w:lang w:val="en-ZA" w:eastAsia="en-ZA"/>
        </w:rPr>
        <w:t>Cell: +27 (0) 73 007 5603  </w:t>
      </w:r>
    </w:p>
    <w:p w:rsidR="00AA298D" w:rsidRPr="007F40A0" w:rsidRDefault="00AA298D" w:rsidP="00CB4CCC">
      <w:pPr>
        <w:spacing w:line="276" w:lineRule="auto"/>
        <w:ind w:left="567" w:right="567"/>
        <w:jc w:val="both"/>
        <w:rPr>
          <w:rFonts w:ascii="Arial" w:hAnsi="Arial" w:cs="Arial"/>
          <w:lang w:val="en-ZA" w:eastAsia="en-ZA"/>
        </w:rPr>
      </w:pPr>
      <w:r w:rsidRPr="007F40A0">
        <w:rPr>
          <w:rFonts w:ascii="Arial" w:hAnsi="Arial" w:cs="Arial"/>
          <w:color w:val="000000"/>
          <w:lang w:val="en-ZA" w:eastAsia="en-ZA"/>
        </w:rPr>
        <w:t xml:space="preserve">Twitter: @comptrib                                        </w:t>
      </w:r>
    </w:p>
    <w:p w:rsidR="00AA298D" w:rsidRPr="007F40A0" w:rsidRDefault="00AA298D" w:rsidP="00CB4CCC">
      <w:pPr>
        <w:spacing w:line="276" w:lineRule="auto"/>
        <w:ind w:left="567" w:right="567"/>
        <w:jc w:val="both"/>
        <w:rPr>
          <w:rFonts w:ascii="Arial" w:hAnsi="Arial" w:cs="Arial"/>
          <w:lang w:val="en-ZA"/>
        </w:rPr>
      </w:pPr>
      <w:r w:rsidRPr="007F40A0">
        <w:rPr>
          <w:rFonts w:ascii="Arial" w:hAnsi="Arial" w:cs="Arial"/>
          <w:color w:val="000000"/>
          <w:lang w:val="en-ZA" w:eastAsia="en-ZA"/>
        </w:rPr>
        <w:t xml:space="preserve">E-Mail: </w:t>
      </w:r>
      <w:hyperlink r:id="rId6" w:history="1">
        <w:r w:rsidRPr="007F40A0">
          <w:rPr>
            <w:rFonts w:ascii="Arial" w:hAnsi="Arial" w:cs="Arial"/>
            <w:color w:val="0000FF"/>
            <w:u w:val="single"/>
            <w:lang w:val="en-ZA" w:eastAsia="en-ZA"/>
          </w:rPr>
          <w:t>chantelleb@comptrib.co.za</w:t>
        </w:r>
      </w:hyperlink>
      <w:r w:rsidRPr="007F40A0">
        <w:rPr>
          <w:rFonts w:ascii="Arial" w:hAnsi="Arial" w:cs="Arial"/>
          <w:lang w:val="en-ZA"/>
        </w:rPr>
        <w:t xml:space="preserve"> </w:t>
      </w:r>
    </w:p>
    <w:p w:rsidR="00AA298D" w:rsidRPr="007F40A0" w:rsidRDefault="00AA298D" w:rsidP="00CB4CCC">
      <w:pPr>
        <w:spacing w:line="276" w:lineRule="auto"/>
        <w:ind w:left="567" w:right="567"/>
        <w:jc w:val="both"/>
        <w:rPr>
          <w:rFonts w:ascii="Arial" w:hAnsi="Arial" w:cs="Arial"/>
          <w:color w:val="000000"/>
          <w:lang w:val="en-ZA"/>
        </w:rPr>
      </w:pPr>
    </w:p>
    <w:p w:rsidR="00AA298D" w:rsidRPr="007F40A0" w:rsidRDefault="00AA298D" w:rsidP="00CB4CCC">
      <w:pPr>
        <w:spacing w:line="276" w:lineRule="auto"/>
        <w:ind w:left="567" w:right="567"/>
        <w:jc w:val="both"/>
        <w:rPr>
          <w:rFonts w:ascii="Arial" w:hAnsi="Arial" w:cs="Arial"/>
          <w:color w:val="000000"/>
          <w:lang w:val="en-ZA"/>
        </w:rPr>
      </w:pPr>
    </w:p>
    <w:p w:rsidR="00AA298D" w:rsidRPr="007F40A0" w:rsidRDefault="00AA298D" w:rsidP="00CB4CCC">
      <w:pPr>
        <w:spacing w:line="276" w:lineRule="auto"/>
        <w:ind w:left="567" w:right="567"/>
        <w:jc w:val="both"/>
        <w:rPr>
          <w:rFonts w:ascii="Arial" w:hAnsi="Arial" w:cs="Arial"/>
          <w:lang w:val="en-ZA" w:eastAsia="en-ZA"/>
        </w:rPr>
      </w:pPr>
      <w:r w:rsidRPr="007F40A0">
        <w:rPr>
          <w:rFonts w:ascii="Arial" w:hAnsi="Arial" w:cs="Arial"/>
          <w:color w:val="000000"/>
          <w:lang w:val="en-ZA" w:eastAsia="en-ZA"/>
        </w:rPr>
        <w:t>On Behalf Of:</w:t>
      </w:r>
    </w:p>
    <w:p w:rsidR="00AA298D" w:rsidRPr="007F40A0" w:rsidRDefault="00AA298D" w:rsidP="00CB4CCC">
      <w:pPr>
        <w:spacing w:line="276" w:lineRule="auto"/>
        <w:ind w:left="567" w:right="567"/>
        <w:jc w:val="both"/>
        <w:rPr>
          <w:rFonts w:ascii="Arial" w:hAnsi="Arial" w:cs="Arial"/>
          <w:lang w:val="en-ZA" w:eastAsia="en-ZA"/>
        </w:rPr>
      </w:pPr>
      <w:r w:rsidRPr="007F40A0">
        <w:rPr>
          <w:rFonts w:ascii="Arial" w:hAnsi="Arial" w:cs="Arial"/>
          <w:color w:val="000000"/>
          <w:lang w:val="en-ZA" w:eastAsia="en-ZA"/>
        </w:rPr>
        <w:t>Lerato Motaung                                                   </w:t>
      </w:r>
    </w:p>
    <w:p w:rsidR="00AA298D" w:rsidRPr="007F40A0" w:rsidRDefault="00AA298D" w:rsidP="00CB4CCC">
      <w:pPr>
        <w:spacing w:line="276" w:lineRule="auto"/>
        <w:ind w:left="567" w:right="567"/>
        <w:jc w:val="both"/>
        <w:rPr>
          <w:rFonts w:ascii="Arial" w:hAnsi="Arial" w:cs="Arial"/>
          <w:lang w:val="en-ZA" w:eastAsia="en-ZA"/>
        </w:rPr>
      </w:pPr>
      <w:r w:rsidRPr="007F40A0">
        <w:rPr>
          <w:rFonts w:ascii="Arial" w:hAnsi="Arial" w:cs="Arial"/>
          <w:color w:val="000000"/>
          <w:lang w:val="en-ZA" w:eastAsia="en-ZA"/>
        </w:rPr>
        <w:t xml:space="preserve">Registrar: Competition Tribunal                                         </w:t>
      </w:r>
    </w:p>
    <w:p w:rsidR="00AA298D" w:rsidRPr="007F40A0" w:rsidRDefault="00AA298D" w:rsidP="00CB4CCC">
      <w:pPr>
        <w:spacing w:line="276" w:lineRule="auto"/>
        <w:ind w:left="567" w:right="567"/>
        <w:jc w:val="both"/>
        <w:rPr>
          <w:rFonts w:ascii="Arial" w:hAnsi="Arial" w:cs="Arial"/>
          <w:lang w:val="en-ZA" w:eastAsia="en-ZA"/>
        </w:rPr>
      </w:pPr>
      <w:r w:rsidRPr="007F40A0">
        <w:rPr>
          <w:rFonts w:ascii="Arial" w:hAnsi="Arial" w:cs="Arial"/>
          <w:color w:val="000000"/>
          <w:lang w:val="en-ZA" w:eastAsia="en-ZA"/>
        </w:rPr>
        <w:t xml:space="preserve">Tel: (012) 394 3355                                              </w:t>
      </w:r>
    </w:p>
    <w:p w:rsidR="00AA298D" w:rsidRPr="007F40A0" w:rsidRDefault="00AA298D" w:rsidP="00CB4CCC">
      <w:pPr>
        <w:spacing w:line="276" w:lineRule="auto"/>
        <w:ind w:left="567" w:right="567"/>
        <w:jc w:val="both"/>
        <w:rPr>
          <w:rFonts w:ascii="Arial" w:hAnsi="Arial" w:cs="Arial"/>
          <w:lang w:val="en-ZA" w:eastAsia="en-ZA"/>
        </w:rPr>
      </w:pPr>
      <w:r w:rsidRPr="007F40A0">
        <w:rPr>
          <w:rFonts w:ascii="Arial" w:hAnsi="Arial" w:cs="Arial"/>
          <w:color w:val="000000"/>
          <w:lang w:val="en-ZA" w:eastAsia="en-ZA"/>
        </w:rPr>
        <w:t xml:space="preserve">Cell: +27 (0) 82 556 3221                                               </w:t>
      </w:r>
    </w:p>
    <w:p w:rsidR="00AA298D" w:rsidRPr="007F40A0" w:rsidRDefault="00AA298D" w:rsidP="00CB4CCC">
      <w:pPr>
        <w:spacing w:line="276" w:lineRule="auto"/>
        <w:ind w:left="567" w:right="567"/>
        <w:jc w:val="both"/>
        <w:rPr>
          <w:rFonts w:ascii="Arial" w:hAnsi="Arial" w:cs="Arial"/>
          <w:lang w:val="en-ZA"/>
        </w:rPr>
      </w:pPr>
      <w:r w:rsidRPr="007F40A0">
        <w:rPr>
          <w:rFonts w:ascii="Arial" w:hAnsi="Arial" w:cs="Arial"/>
          <w:color w:val="000000"/>
          <w:lang w:val="en-ZA" w:eastAsia="en-ZA"/>
        </w:rPr>
        <w:t xml:space="preserve">E-Mail: </w:t>
      </w:r>
      <w:hyperlink r:id="rId7" w:history="1">
        <w:r w:rsidRPr="007F40A0">
          <w:rPr>
            <w:rFonts w:ascii="Arial" w:hAnsi="Arial" w:cs="Arial"/>
            <w:color w:val="0000FF"/>
            <w:u w:val="single"/>
            <w:lang w:val="en-ZA" w:eastAsia="en-ZA"/>
          </w:rPr>
          <w:t>LeratoM@comptrib.co.za</w:t>
        </w:r>
      </w:hyperlink>
    </w:p>
    <w:p w:rsidR="00AA298D" w:rsidRDefault="00AA298D"/>
    <w:sectPr w:rsidR="00AA29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120CB"/>
    <w:multiLevelType w:val="hybridMultilevel"/>
    <w:tmpl w:val="5DE0D2D2"/>
    <w:lvl w:ilvl="0" w:tplc="ECE47ADA">
      <w:numFmt w:val="bullet"/>
      <w:lvlText w:val=""/>
      <w:lvlJc w:val="left"/>
      <w:pPr>
        <w:ind w:left="720" w:hanging="360"/>
      </w:pPr>
      <w:rPr>
        <w:rFonts w:ascii="Symbol" w:eastAsiaTheme="minorHAnsi" w:hAnsi="Symbol" w:cs="Arial" w:hint="default"/>
        <w:b w:val="0"/>
        <w:color w:val="00000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abstractNum w:abstractNumId="2">
    <w:nsid w:val="60944C8B"/>
    <w:multiLevelType w:val="hybridMultilevel"/>
    <w:tmpl w:val="0DB09492"/>
    <w:lvl w:ilvl="0" w:tplc="2CA2B45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98D"/>
    <w:rsid w:val="00037E6F"/>
    <w:rsid w:val="000540DA"/>
    <w:rsid w:val="000B4899"/>
    <w:rsid w:val="00134497"/>
    <w:rsid w:val="001B06AD"/>
    <w:rsid w:val="00241AE2"/>
    <w:rsid w:val="002846FE"/>
    <w:rsid w:val="002A5A09"/>
    <w:rsid w:val="00424B64"/>
    <w:rsid w:val="004755EC"/>
    <w:rsid w:val="004F2C66"/>
    <w:rsid w:val="00551792"/>
    <w:rsid w:val="00563FDE"/>
    <w:rsid w:val="005F7489"/>
    <w:rsid w:val="007F40A0"/>
    <w:rsid w:val="00816545"/>
    <w:rsid w:val="00842282"/>
    <w:rsid w:val="00845310"/>
    <w:rsid w:val="008746E1"/>
    <w:rsid w:val="0088144F"/>
    <w:rsid w:val="009E6799"/>
    <w:rsid w:val="00A10CD5"/>
    <w:rsid w:val="00A13EDF"/>
    <w:rsid w:val="00A25FDB"/>
    <w:rsid w:val="00A27304"/>
    <w:rsid w:val="00A42E57"/>
    <w:rsid w:val="00AA298D"/>
    <w:rsid w:val="00AB07DF"/>
    <w:rsid w:val="00CB16DB"/>
    <w:rsid w:val="00CB1AB0"/>
    <w:rsid w:val="00CB2C83"/>
    <w:rsid w:val="00CB4CCC"/>
    <w:rsid w:val="00DB283D"/>
    <w:rsid w:val="00DB7989"/>
    <w:rsid w:val="00DD6599"/>
    <w:rsid w:val="00E3274F"/>
    <w:rsid w:val="00E94556"/>
    <w:rsid w:val="00F575F4"/>
    <w:rsid w:val="00F61739"/>
    <w:rsid w:val="00F7386D"/>
    <w:rsid w:val="00FA1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4AC69-3244-4712-A6E0-C1DF1977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9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298D"/>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24B64"/>
  </w:style>
  <w:style w:type="character" w:styleId="Hyperlink">
    <w:name w:val="Hyperlink"/>
    <w:basedOn w:val="DefaultParagraphFont"/>
    <w:uiPriority w:val="99"/>
    <w:semiHidden/>
    <w:unhideWhenUsed/>
    <w:rsid w:val="00424B64"/>
    <w:rPr>
      <w:color w:val="0000FF"/>
      <w:u w:val="single"/>
    </w:rPr>
  </w:style>
  <w:style w:type="paragraph" w:styleId="ListParagraph">
    <w:name w:val="List Paragraph"/>
    <w:aliases w:val="#Listenabsatz"/>
    <w:basedOn w:val="Normal"/>
    <w:link w:val="ListParagraphChar"/>
    <w:uiPriority w:val="34"/>
    <w:qFormat/>
    <w:rsid w:val="00FA1CFF"/>
    <w:pPr>
      <w:ind w:left="720"/>
      <w:contextualSpacing/>
    </w:pPr>
  </w:style>
  <w:style w:type="paragraph" w:styleId="CommentText">
    <w:name w:val="annotation text"/>
    <w:basedOn w:val="Normal"/>
    <w:link w:val="CommentTextChar"/>
    <w:uiPriority w:val="99"/>
    <w:semiHidden/>
    <w:unhideWhenUsed/>
    <w:rsid w:val="00F575F4"/>
    <w:rPr>
      <w:sz w:val="20"/>
      <w:szCs w:val="20"/>
    </w:rPr>
  </w:style>
  <w:style w:type="character" w:customStyle="1" w:styleId="CommentTextChar">
    <w:name w:val="Comment Text Char"/>
    <w:basedOn w:val="DefaultParagraphFont"/>
    <w:link w:val="CommentText"/>
    <w:uiPriority w:val="99"/>
    <w:semiHidden/>
    <w:rsid w:val="00F575F4"/>
    <w:rPr>
      <w:rFonts w:ascii="Calibri" w:hAnsi="Calibri" w:cs="Calibri"/>
      <w:sz w:val="20"/>
      <w:szCs w:val="20"/>
    </w:rPr>
  </w:style>
  <w:style w:type="character" w:styleId="CommentReference">
    <w:name w:val="annotation reference"/>
    <w:basedOn w:val="DefaultParagraphFont"/>
    <w:uiPriority w:val="99"/>
    <w:semiHidden/>
    <w:unhideWhenUsed/>
    <w:rsid w:val="00F575F4"/>
    <w:rPr>
      <w:sz w:val="16"/>
      <w:szCs w:val="16"/>
    </w:rPr>
  </w:style>
  <w:style w:type="paragraph" w:styleId="BalloonText">
    <w:name w:val="Balloon Text"/>
    <w:basedOn w:val="Normal"/>
    <w:link w:val="BalloonTextChar"/>
    <w:uiPriority w:val="99"/>
    <w:semiHidden/>
    <w:unhideWhenUsed/>
    <w:rsid w:val="00F57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5F4"/>
    <w:rPr>
      <w:rFonts w:ascii="Segoe UI" w:hAnsi="Segoe UI" w:cs="Segoe UI"/>
      <w:sz w:val="18"/>
      <w:szCs w:val="18"/>
    </w:rPr>
  </w:style>
  <w:style w:type="paragraph" w:styleId="NormalWeb">
    <w:name w:val="Normal (Web)"/>
    <w:basedOn w:val="Normal"/>
    <w:uiPriority w:val="99"/>
    <w:unhideWhenUsed/>
    <w:rsid w:val="0088144F"/>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aliases w:val="#Listenabsatz Char"/>
    <w:basedOn w:val="DefaultParagraphFont"/>
    <w:link w:val="ListParagraph"/>
    <w:uiPriority w:val="34"/>
    <w:locked/>
    <w:rsid w:val="009E679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77443">
      <w:bodyDiv w:val="1"/>
      <w:marLeft w:val="0"/>
      <w:marRight w:val="0"/>
      <w:marTop w:val="0"/>
      <w:marBottom w:val="0"/>
      <w:divBdr>
        <w:top w:val="none" w:sz="0" w:space="0" w:color="auto"/>
        <w:left w:val="none" w:sz="0" w:space="0" w:color="auto"/>
        <w:bottom w:val="none" w:sz="0" w:space="0" w:color="auto"/>
        <w:right w:val="none" w:sz="0" w:space="0" w:color="auto"/>
      </w:divBdr>
    </w:div>
    <w:div w:id="419331086">
      <w:bodyDiv w:val="1"/>
      <w:marLeft w:val="0"/>
      <w:marRight w:val="0"/>
      <w:marTop w:val="0"/>
      <w:marBottom w:val="0"/>
      <w:divBdr>
        <w:top w:val="none" w:sz="0" w:space="0" w:color="auto"/>
        <w:left w:val="none" w:sz="0" w:space="0" w:color="auto"/>
        <w:bottom w:val="none" w:sz="0" w:space="0" w:color="auto"/>
        <w:right w:val="none" w:sz="0" w:space="0" w:color="auto"/>
      </w:divBdr>
    </w:div>
    <w:div w:id="573275857">
      <w:bodyDiv w:val="1"/>
      <w:marLeft w:val="0"/>
      <w:marRight w:val="0"/>
      <w:marTop w:val="0"/>
      <w:marBottom w:val="0"/>
      <w:divBdr>
        <w:top w:val="none" w:sz="0" w:space="0" w:color="auto"/>
        <w:left w:val="none" w:sz="0" w:space="0" w:color="auto"/>
        <w:bottom w:val="none" w:sz="0" w:space="0" w:color="auto"/>
        <w:right w:val="none" w:sz="0" w:space="0" w:color="auto"/>
      </w:divBdr>
    </w:div>
    <w:div w:id="716055318">
      <w:bodyDiv w:val="1"/>
      <w:marLeft w:val="0"/>
      <w:marRight w:val="0"/>
      <w:marTop w:val="0"/>
      <w:marBottom w:val="0"/>
      <w:divBdr>
        <w:top w:val="none" w:sz="0" w:space="0" w:color="auto"/>
        <w:left w:val="none" w:sz="0" w:space="0" w:color="auto"/>
        <w:bottom w:val="none" w:sz="0" w:space="0" w:color="auto"/>
        <w:right w:val="none" w:sz="0" w:space="0" w:color="auto"/>
      </w:divBdr>
    </w:div>
    <w:div w:id="1015886979">
      <w:bodyDiv w:val="1"/>
      <w:marLeft w:val="0"/>
      <w:marRight w:val="0"/>
      <w:marTop w:val="0"/>
      <w:marBottom w:val="0"/>
      <w:divBdr>
        <w:top w:val="none" w:sz="0" w:space="0" w:color="auto"/>
        <w:left w:val="none" w:sz="0" w:space="0" w:color="auto"/>
        <w:bottom w:val="none" w:sz="0" w:space="0" w:color="auto"/>
        <w:right w:val="none" w:sz="0" w:space="0" w:color="auto"/>
      </w:divBdr>
    </w:div>
    <w:div w:id="1259676363">
      <w:bodyDiv w:val="1"/>
      <w:marLeft w:val="0"/>
      <w:marRight w:val="0"/>
      <w:marTop w:val="0"/>
      <w:marBottom w:val="0"/>
      <w:divBdr>
        <w:top w:val="none" w:sz="0" w:space="0" w:color="auto"/>
        <w:left w:val="none" w:sz="0" w:space="0" w:color="auto"/>
        <w:bottom w:val="none" w:sz="0" w:space="0" w:color="auto"/>
        <w:right w:val="none" w:sz="0" w:space="0" w:color="auto"/>
      </w:divBdr>
    </w:div>
    <w:div w:id="1369139545">
      <w:bodyDiv w:val="1"/>
      <w:marLeft w:val="0"/>
      <w:marRight w:val="0"/>
      <w:marTop w:val="0"/>
      <w:marBottom w:val="0"/>
      <w:divBdr>
        <w:top w:val="none" w:sz="0" w:space="0" w:color="auto"/>
        <w:left w:val="none" w:sz="0" w:space="0" w:color="auto"/>
        <w:bottom w:val="none" w:sz="0" w:space="0" w:color="auto"/>
        <w:right w:val="none" w:sz="0" w:space="0" w:color="auto"/>
      </w:divBdr>
      <w:divsChild>
        <w:div w:id="790175715">
          <w:marLeft w:val="0"/>
          <w:marRight w:val="0"/>
          <w:marTop w:val="0"/>
          <w:marBottom w:val="0"/>
          <w:divBdr>
            <w:top w:val="none" w:sz="0" w:space="0" w:color="auto"/>
            <w:left w:val="none" w:sz="0" w:space="0" w:color="auto"/>
            <w:bottom w:val="none" w:sz="0" w:space="0" w:color="auto"/>
            <w:right w:val="none" w:sz="0" w:space="0" w:color="auto"/>
          </w:divBdr>
          <w:divsChild>
            <w:div w:id="194487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2</cp:revision>
  <dcterms:created xsi:type="dcterms:W3CDTF">2017-10-25T14:47:00Z</dcterms:created>
  <dcterms:modified xsi:type="dcterms:W3CDTF">2017-10-25T14:47:00Z</dcterms:modified>
</cp:coreProperties>
</file>