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FD" w:rsidRPr="007D04FD" w:rsidRDefault="007D04FD" w:rsidP="007D04FD">
      <w:pPr>
        <w:spacing w:after="0" w:line="240" w:lineRule="auto"/>
        <w:jc w:val="center"/>
        <w:rPr>
          <w:rFonts w:ascii="Arial" w:hAnsi="Arial" w:cs="Arial"/>
          <w:b/>
          <w:lang w:val="en-ZA"/>
        </w:rPr>
      </w:pPr>
      <w:r w:rsidRPr="007D04FD">
        <w:rPr>
          <w:rFonts w:ascii="Arial" w:hAnsi="Arial" w:cs="Arial"/>
          <w:b/>
          <w:noProof/>
        </w:rPr>
        <w:drawing>
          <wp:inline distT="0" distB="0" distL="0" distR="0" wp14:anchorId="11F39B7C" wp14:editId="49A0ACA7">
            <wp:extent cx="1083945" cy="733425"/>
            <wp:effectExtent l="0" t="0" r="190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4FD" w:rsidRPr="007D04FD" w:rsidRDefault="007D04FD" w:rsidP="007D04FD">
      <w:pPr>
        <w:spacing w:after="0" w:line="240" w:lineRule="auto"/>
        <w:jc w:val="center"/>
        <w:rPr>
          <w:rFonts w:ascii="Arial" w:hAnsi="Arial" w:cs="Arial"/>
          <w:b/>
          <w:lang w:val="en-ZA"/>
        </w:rPr>
      </w:pPr>
    </w:p>
    <w:p w:rsidR="007D04FD" w:rsidRPr="007D04FD" w:rsidRDefault="007D04FD" w:rsidP="007D04FD">
      <w:pPr>
        <w:spacing w:after="0" w:line="240" w:lineRule="auto"/>
        <w:jc w:val="center"/>
        <w:rPr>
          <w:rFonts w:ascii="Arial" w:hAnsi="Arial" w:cs="Arial"/>
          <w:b/>
          <w:lang w:val="en-ZA"/>
        </w:rPr>
      </w:pPr>
    </w:p>
    <w:p w:rsidR="007D04FD" w:rsidRPr="007D04FD" w:rsidRDefault="003173E5" w:rsidP="007D04FD">
      <w:pPr>
        <w:spacing w:after="0" w:line="240" w:lineRule="auto"/>
        <w:jc w:val="center"/>
        <w:rPr>
          <w:rFonts w:ascii="Arial" w:hAnsi="Arial" w:cs="Arial"/>
          <w:b/>
          <w:lang w:val="en-ZA"/>
        </w:rPr>
      </w:pPr>
      <w:r>
        <w:rPr>
          <w:rFonts w:ascii="Arial" w:hAnsi="Arial" w:cs="Arial"/>
          <w:b/>
          <w:lang w:val="en-ZA"/>
        </w:rPr>
        <w:t xml:space="preserve">OUTCOME OF </w:t>
      </w:r>
      <w:r w:rsidR="007D04FD" w:rsidRPr="007D04FD">
        <w:rPr>
          <w:rFonts w:ascii="Arial" w:hAnsi="Arial" w:cs="Arial"/>
          <w:b/>
          <w:lang w:val="en-ZA"/>
        </w:rPr>
        <w:t>CASES - TRIBUNAL ROL</w:t>
      </w:r>
      <w:r w:rsidR="007D04FD">
        <w:rPr>
          <w:rFonts w:ascii="Arial" w:hAnsi="Arial" w:cs="Arial"/>
          <w:b/>
          <w:lang w:val="en-ZA"/>
        </w:rPr>
        <w:t>L FOR WEDNESDAY, 13 JULY</w:t>
      </w:r>
      <w:r w:rsidR="007D04FD" w:rsidRPr="007D04FD">
        <w:rPr>
          <w:rFonts w:ascii="Arial" w:hAnsi="Arial" w:cs="Arial"/>
          <w:b/>
          <w:lang w:val="en-ZA"/>
        </w:rPr>
        <w:t xml:space="preserve"> 2016</w:t>
      </w:r>
    </w:p>
    <w:p w:rsidR="007D04FD" w:rsidRPr="007D04FD" w:rsidRDefault="007D04FD" w:rsidP="007D04FD">
      <w:pPr>
        <w:spacing w:after="0" w:line="240" w:lineRule="auto"/>
        <w:jc w:val="both"/>
        <w:rPr>
          <w:rFonts w:ascii="Arial" w:hAnsi="Arial" w:cs="Arial"/>
          <w:b/>
          <w:lang w:val="en-ZA"/>
        </w:rPr>
      </w:pPr>
    </w:p>
    <w:p w:rsidR="007D04FD" w:rsidRPr="007D04FD" w:rsidRDefault="007D04FD" w:rsidP="007D04FD">
      <w:pPr>
        <w:spacing w:after="0" w:line="240" w:lineRule="auto"/>
        <w:jc w:val="both"/>
        <w:rPr>
          <w:rFonts w:ascii="Arial" w:hAnsi="Arial" w:cs="Arial"/>
          <w:b/>
          <w:lang w:val="en-ZA"/>
        </w:rPr>
      </w:pPr>
    </w:p>
    <w:p w:rsidR="007D04FD" w:rsidRPr="007D04FD" w:rsidRDefault="007D04FD" w:rsidP="007D04FD">
      <w:pPr>
        <w:spacing w:after="0" w:line="240" w:lineRule="auto"/>
        <w:jc w:val="both"/>
        <w:rPr>
          <w:rFonts w:ascii="Arial" w:hAnsi="Arial" w:cs="Arial"/>
          <w:lang w:val="en-ZA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7D04FD" w:rsidRPr="007D04FD" w:rsidTr="00FD2609">
        <w:trPr>
          <w:trHeight w:val="972"/>
        </w:trPr>
        <w:tc>
          <w:tcPr>
            <w:tcW w:w="3153" w:type="dxa"/>
            <w:shd w:val="clear" w:color="auto" w:fill="996633"/>
          </w:tcPr>
          <w:p w:rsidR="007D04FD" w:rsidRPr="007D04FD" w:rsidRDefault="007D04FD" w:rsidP="007D04FD">
            <w:pPr>
              <w:rPr>
                <w:rFonts w:ascii="Arial" w:hAnsi="Arial" w:cs="Arial"/>
                <w:color w:val="FFFFFF" w:themeColor="background1"/>
              </w:rPr>
            </w:pPr>
            <w:r w:rsidRPr="007D04FD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D04FD" w:rsidRPr="007D04FD" w:rsidRDefault="007D04FD" w:rsidP="007D04FD">
            <w:pPr>
              <w:rPr>
                <w:rFonts w:ascii="Arial" w:hAnsi="Arial" w:cs="Arial"/>
                <w:color w:val="FFFFFF" w:themeColor="background1"/>
              </w:rPr>
            </w:pPr>
            <w:r w:rsidRPr="007D04FD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7D04FD" w:rsidRPr="007D04FD" w:rsidRDefault="007D04FD" w:rsidP="007D04FD">
            <w:pPr>
              <w:rPr>
                <w:rFonts w:ascii="Arial" w:hAnsi="Arial" w:cs="Arial"/>
                <w:color w:val="FFFFFF" w:themeColor="background1"/>
              </w:rPr>
            </w:pPr>
            <w:r w:rsidRPr="007D04FD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D04FD" w:rsidRPr="007D04FD" w:rsidTr="00FD2609">
        <w:trPr>
          <w:trHeight w:val="493"/>
        </w:trPr>
        <w:tc>
          <w:tcPr>
            <w:tcW w:w="3153" w:type="dxa"/>
          </w:tcPr>
          <w:p w:rsidR="007D04FD" w:rsidRPr="007D04FD" w:rsidRDefault="007D04FD" w:rsidP="007D04FD">
            <w:pPr>
              <w:jc w:val="both"/>
              <w:rPr>
                <w:rFonts w:cs="Arial"/>
              </w:rPr>
            </w:pPr>
            <w:r w:rsidRPr="007D04FD">
              <w:rPr>
                <w:rFonts w:cs="Arial"/>
              </w:rPr>
              <w:t>Large merger</w:t>
            </w:r>
          </w:p>
        </w:tc>
        <w:tc>
          <w:tcPr>
            <w:tcW w:w="3198" w:type="dxa"/>
          </w:tcPr>
          <w:p w:rsidR="007D04FD" w:rsidRPr="007D04FD" w:rsidRDefault="007D04FD" w:rsidP="007D04FD">
            <w:pPr>
              <w:jc w:val="both"/>
              <w:rPr>
                <w:rFonts w:ascii="Arial" w:hAnsi="Arial" w:cs="Arial"/>
              </w:rPr>
            </w:pPr>
            <w:r>
              <w:t>AFGRI Operations Limited and Pride Milling Company (Pty) Limited</w:t>
            </w:r>
          </w:p>
        </w:tc>
        <w:tc>
          <w:tcPr>
            <w:tcW w:w="2873" w:type="dxa"/>
          </w:tcPr>
          <w:p w:rsidR="007D04FD" w:rsidRPr="007D04FD" w:rsidRDefault="007D04FD" w:rsidP="007D04FD">
            <w:pPr>
              <w:jc w:val="both"/>
              <w:rPr>
                <w:rFonts w:cs="Arial"/>
              </w:rPr>
            </w:pPr>
            <w:r w:rsidRPr="001F7C0C">
              <w:rPr>
                <w:rFonts w:cs="Arial"/>
              </w:rPr>
              <w:t>Approved with conditions</w:t>
            </w:r>
          </w:p>
        </w:tc>
      </w:tr>
      <w:tr w:rsidR="007D04FD" w:rsidRPr="007D04FD" w:rsidTr="00FD2609">
        <w:trPr>
          <w:trHeight w:val="479"/>
        </w:trPr>
        <w:tc>
          <w:tcPr>
            <w:tcW w:w="3153" w:type="dxa"/>
          </w:tcPr>
          <w:p w:rsidR="007D04FD" w:rsidRPr="007D04FD" w:rsidRDefault="007D04FD" w:rsidP="007D04FD">
            <w:pPr>
              <w:jc w:val="both"/>
              <w:rPr>
                <w:rFonts w:cs="Arial"/>
              </w:rPr>
            </w:pPr>
            <w:r w:rsidRPr="001F7C0C">
              <w:rPr>
                <w:rFonts w:cs="Arial"/>
              </w:rPr>
              <w:t>Consent agreement</w:t>
            </w:r>
          </w:p>
        </w:tc>
        <w:tc>
          <w:tcPr>
            <w:tcW w:w="3198" w:type="dxa"/>
          </w:tcPr>
          <w:p w:rsidR="007D04FD" w:rsidRPr="007D04FD" w:rsidRDefault="007D04FD" w:rsidP="007D04FD">
            <w:pPr>
              <w:jc w:val="both"/>
              <w:rPr>
                <w:rFonts w:ascii="Arial" w:hAnsi="Arial" w:cs="Arial"/>
              </w:rPr>
            </w:pPr>
            <w:r>
              <w:t xml:space="preserve">Competition Commission and </w:t>
            </w:r>
            <w:proofErr w:type="spellStart"/>
            <w:r>
              <w:t>Eukor</w:t>
            </w:r>
            <w:proofErr w:type="spellEnd"/>
            <w:r>
              <w:t xml:space="preserve"> Car Carriers Inc.</w:t>
            </w:r>
          </w:p>
        </w:tc>
        <w:tc>
          <w:tcPr>
            <w:tcW w:w="2873" w:type="dxa"/>
          </w:tcPr>
          <w:p w:rsidR="007D04FD" w:rsidRPr="007D04FD" w:rsidRDefault="007D04FD" w:rsidP="007D04FD">
            <w:pPr>
              <w:rPr>
                <w:rFonts w:cs="Arial"/>
              </w:rPr>
            </w:pPr>
            <w:r w:rsidRPr="001F7C0C">
              <w:rPr>
                <w:rFonts w:cs="Arial"/>
              </w:rPr>
              <w:t>Confirmation of consent agreement</w:t>
            </w:r>
          </w:p>
        </w:tc>
      </w:tr>
      <w:tr w:rsidR="007D04FD" w:rsidRPr="007D04FD" w:rsidTr="00FD2609">
        <w:trPr>
          <w:trHeight w:val="726"/>
        </w:trPr>
        <w:tc>
          <w:tcPr>
            <w:tcW w:w="3153" w:type="dxa"/>
          </w:tcPr>
          <w:p w:rsidR="007D04FD" w:rsidRPr="007D04FD" w:rsidRDefault="007D04FD" w:rsidP="007D04FD">
            <w:pPr>
              <w:jc w:val="both"/>
              <w:rPr>
                <w:rFonts w:cs="Arial"/>
              </w:rPr>
            </w:pPr>
            <w:r w:rsidRPr="001F7C0C">
              <w:rPr>
                <w:rFonts w:cs="Arial"/>
              </w:rPr>
              <w:t>Settlement agreement</w:t>
            </w:r>
          </w:p>
        </w:tc>
        <w:tc>
          <w:tcPr>
            <w:tcW w:w="3198" w:type="dxa"/>
          </w:tcPr>
          <w:p w:rsidR="007D04FD" w:rsidRPr="007D04FD" w:rsidRDefault="007D04FD" w:rsidP="007D04FD">
            <w:pPr>
              <w:jc w:val="both"/>
              <w:rPr>
                <w:rFonts w:ascii="Arial" w:hAnsi="Arial" w:cs="Arial"/>
                <w:color w:val="000000"/>
              </w:rPr>
            </w:pPr>
            <w:r>
              <w:t>Competition Commission And WBHO Construction (Pty) Ltd</w:t>
            </w:r>
          </w:p>
        </w:tc>
        <w:tc>
          <w:tcPr>
            <w:tcW w:w="2873" w:type="dxa"/>
          </w:tcPr>
          <w:p w:rsidR="007D04FD" w:rsidRPr="007D04FD" w:rsidRDefault="007D04FD" w:rsidP="007D04FD">
            <w:pPr>
              <w:rPr>
                <w:rFonts w:cs="Arial"/>
              </w:rPr>
            </w:pPr>
            <w:r w:rsidRPr="001F7C0C">
              <w:rPr>
                <w:rFonts w:cs="Arial"/>
              </w:rPr>
              <w:t>C</w:t>
            </w:r>
            <w:r w:rsidR="001C6A68" w:rsidRPr="001F7C0C">
              <w:rPr>
                <w:rFonts w:cs="Arial"/>
              </w:rPr>
              <w:t>onfirmation of settlement agree</w:t>
            </w:r>
            <w:r w:rsidRPr="001F7C0C">
              <w:rPr>
                <w:rFonts w:cs="Arial"/>
              </w:rPr>
              <w:t>ment</w:t>
            </w:r>
          </w:p>
        </w:tc>
      </w:tr>
      <w:tr w:rsidR="007D04FD" w:rsidRPr="007D04FD" w:rsidTr="00FD2609">
        <w:trPr>
          <w:trHeight w:val="726"/>
        </w:trPr>
        <w:tc>
          <w:tcPr>
            <w:tcW w:w="3153" w:type="dxa"/>
          </w:tcPr>
          <w:p w:rsidR="007D04FD" w:rsidRPr="007D04FD" w:rsidRDefault="007D04FD" w:rsidP="007D04FD">
            <w:pPr>
              <w:jc w:val="both"/>
              <w:rPr>
                <w:rFonts w:cs="Arial"/>
              </w:rPr>
            </w:pPr>
            <w:r w:rsidRPr="001F7C0C">
              <w:rPr>
                <w:rFonts w:cs="Arial"/>
              </w:rPr>
              <w:t>Settlement agreement</w:t>
            </w:r>
            <w:r w:rsidRPr="007D04FD">
              <w:rPr>
                <w:rFonts w:cs="Arial"/>
              </w:rPr>
              <w:t xml:space="preserve"> </w:t>
            </w:r>
          </w:p>
        </w:tc>
        <w:tc>
          <w:tcPr>
            <w:tcW w:w="3198" w:type="dxa"/>
          </w:tcPr>
          <w:p w:rsidR="007D04FD" w:rsidRPr="007D04FD" w:rsidRDefault="007D04FD" w:rsidP="007D04FD">
            <w:pPr>
              <w:jc w:val="both"/>
              <w:rPr>
                <w:rFonts w:ascii="Arial" w:hAnsi="Arial" w:cs="Arial"/>
                <w:color w:val="000000"/>
              </w:rPr>
            </w:pPr>
            <w:r>
              <w:t xml:space="preserve">Competition Commission And Delatoy Investments (Pty) Ltd; Delatoy Group Holdings (Pty) Ltd; ATPD Properties (Pty) Ltd; Dream World 344 (Pty) Ltd; Dream World 345 (Pty) Ltd; Patrick Donovan </w:t>
            </w:r>
            <w:proofErr w:type="spellStart"/>
            <w:r>
              <w:t>Delamere</w:t>
            </w:r>
            <w:proofErr w:type="spellEnd"/>
            <w:r>
              <w:t xml:space="preserve"> NO; Francois Koch NO; Tonya Elizabeth </w:t>
            </w:r>
            <w:proofErr w:type="spellStart"/>
            <w:r>
              <w:t>Delamere</w:t>
            </w:r>
            <w:proofErr w:type="spellEnd"/>
            <w:r>
              <w:t xml:space="preserve"> NO; Andrew David Toy NO; Patrick James Rowan Toy NO; Hilton </w:t>
            </w:r>
            <w:proofErr w:type="spellStart"/>
            <w:r>
              <w:t>Somah</w:t>
            </w:r>
            <w:proofErr w:type="spellEnd"/>
            <w:r>
              <w:t xml:space="preserve"> Gordon NO</w:t>
            </w:r>
          </w:p>
        </w:tc>
        <w:tc>
          <w:tcPr>
            <w:tcW w:w="2873" w:type="dxa"/>
          </w:tcPr>
          <w:p w:rsidR="007D04FD" w:rsidRPr="007D04FD" w:rsidRDefault="007D04FD" w:rsidP="007D04FD">
            <w:pPr>
              <w:rPr>
                <w:rFonts w:cs="Arial"/>
              </w:rPr>
            </w:pPr>
            <w:r w:rsidRPr="001F7C0C">
              <w:rPr>
                <w:rFonts w:cs="Arial"/>
              </w:rPr>
              <w:t>C</w:t>
            </w:r>
            <w:r w:rsidR="001C6A68" w:rsidRPr="001F7C0C">
              <w:rPr>
                <w:rFonts w:cs="Arial"/>
              </w:rPr>
              <w:t>onfirmation of settlement agree</w:t>
            </w:r>
            <w:r w:rsidRPr="001F7C0C">
              <w:rPr>
                <w:rFonts w:cs="Arial"/>
              </w:rPr>
              <w:t>ment</w:t>
            </w:r>
          </w:p>
        </w:tc>
      </w:tr>
      <w:tr w:rsidR="007D04FD" w:rsidRPr="007D04FD" w:rsidTr="00FD2609">
        <w:trPr>
          <w:trHeight w:val="70"/>
        </w:trPr>
        <w:tc>
          <w:tcPr>
            <w:tcW w:w="3153" w:type="dxa"/>
          </w:tcPr>
          <w:p w:rsidR="007D04FD" w:rsidRPr="007D04FD" w:rsidRDefault="007D04FD" w:rsidP="007D04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7D04FD" w:rsidRPr="007D04FD" w:rsidRDefault="007D04FD" w:rsidP="007D04F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7D04FD" w:rsidRPr="007D04FD" w:rsidRDefault="007D04FD" w:rsidP="007D04FD">
            <w:pPr>
              <w:rPr>
                <w:rFonts w:ascii="Arial" w:hAnsi="Arial" w:cs="Arial"/>
              </w:rPr>
            </w:pPr>
          </w:p>
        </w:tc>
      </w:tr>
    </w:tbl>
    <w:p w:rsidR="001F7C0C" w:rsidRDefault="001F7C0C" w:rsidP="001C6A68">
      <w:pPr>
        <w:spacing w:after="0"/>
        <w:rPr>
          <w:rFonts w:ascii="Arial" w:hAnsi="Arial" w:cs="Arial"/>
          <w:color w:val="000000"/>
          <w:lang w:val="en-ZA"/>
        </w:rPr>
      </w:pPr>
    </w:p>
    <w:p w:rsidR="001F7C0C" w:rsidRDefault="001F7C0C" w:rsidP="001C6A68">
      <w:pPr>
        <w:spacing w:after="0"/>
      </w:pPr>
    </w:p>
    <w:p w:rsidR="001F7C0C" w:rsidRDefault="001F7C0C" w:rsidP="001C6A68">
      <w:pPr>
        <w:spacing w:after="0"/>
        <w:rPr>
          <w:b/>
        </w:rPr>
      </w:pPr>
      <w:r w:rsidRPr="001F7C0C">
        <w:rPr>
          <w:b/>
        </w:rPr>
        <w:t xml:space="preserve">AFGRI buys Pride Milling Company </w:t>
      </w:r>
    </w:p>
    <w:p w:rsidR="001F7C0C" w:rsidRPr="001F7C0C" w:rsidRDefault="001F7C0C" w:rsidP="001C6A68">
      <w:pPr>
        <w:spacing w:after="0"/>
        <w:rPr>
          <w:b/>
        </w:rPr>
      </w:pPr>
    </w:p>
    <w:p w:rsidR="001F7C0C" w:rsidRDefault="007D04FD" w:rsidP="001C6A68">
      <w:pPr>
        <w:spacing w:after="0"/>
      </w:pPr>
      <w:r w:rsidRPr="007D04FD">
        <w:t xml:space="preserve">The Competition Tribunal </w:t>
      </w:r>
      <w:r w:rsidR="003173E5">
        <w:t xml:space="preserve">has approved, with conditions, the </w:t>
      </w:r>
      <w:r w:rsidRPr="007D04FD">
        <w:t xml:space="preserve">merger between </w:t>
      </w:r>
      <w:r w:rsidRPr="007D04FD">
        <w:rPr>
          <w:b/>
        </w:rPr>
        <w:t>AFGRI Operations Limited</w:t>
      </w:r>
      <w:r w:rsidRPr="007D04FD">
        <w:t xml:space="preserve"> (AFGRI) and </w:t>
      </w:r>
      <w:r w:rsidRPr="007D04FD">
        <w:rPr>
          <w:b/>
        </w:rPr>
        <w:t>Pride Milling Company (Pty) Ltd</w:t>
      </w:r>
      <w:r w:rsidRPr="007D04FD">
        <w:t xml:space="preserve"> (Pride Milling). </w:t>
      </w:r>
    </w:p>
    <w:p w:rsidR="003173E5" w:rsidRPr="007D04FD" w:rsidRDefault="003173E5" w:rsidP="001C6A68">
      <w:pPr>
        <w:spacing w:after="0"/>
      </w:pPr>
    </w:p>
    <w:p w:rsidR="001C6A68" w:rsidRPr="001C6A68" w:rsidRDefault="007D04FD" w:rsidP="001C6A68">
      <w:pPr>
        <w:spacing w:after="0"/>
      </w:pPr>
      <w:r w:rsidRPr="007D04FD">
        <w:t xml:space="preserve">AFGRI, the buyer in this transaction, is ultimately controlled by </w:t>
      </w:r>
      <w:proofErr w:type="spellStart"/>
      <w:r w:rsidRPr="007D04FD">
        <w:t>AgriGroupe</w:t>
      </w:r>
      <w:proofErr w:type="spellEnd"/>
      <w:r w:rsidRPr="007D04FD">
        <w:t xml:space="preserve"> Investments LP, but the South African transaction relat</w:t>
      </w:r>
      <w:r w:rsidR="001F7C0C">
        <w:t>es to companies incorporated and operate</w:t>
      </w:r>
      <w:r w:rsidRPr="007D04FD">
        <w:t xml:space="preserve"> in South Africa offering a range of products namely: AFGRI Agri Services, AFGRI Financial Services, AFGRI Food and AFGRI Investments. </w:t>
      </w:r>
    </w:p>
    <w:p w:rsidR="001C6A68" w:rsidRPr="001C6A68" w:rsidRDefault="001C6A68" w:rsidP="001C6A68">
      <w:pPr>
        <w:spacing w:after="0"/>
      </w:pPr>
    </w:p>
    <w:p w:rsidR="007D04FD" w:rsidRPr="001C6A68" w:rsidRDefault="007D04FD" w:rsidP="001C6A68">
      <w:pPr>
        <w:spacing w:after="0"/>
      </w:pPr>
      <w:r w:rsidRPr="007D04FD">
        <w:t xml:space="preserve">AFGRI Agri Services comprises of divisions that focus on the maize value chain, from land preparation, seeds and other inputs, harvesting, grain procurement and storage. </w:t>
      </w:r>
    </w:p>
    <w:p w:rsidR="001C6A68" w:rsidRPr="007D04FD" w:rsidRDefault="001C6A68" w:rsidP="001C6A68">
      <w:pPr>
        <w:spacing w:after="0"/>
      </w:pPr>
    </w:p>
    <w:p w:rsidR="007D04FD" w:rsidRPr="001C6A68" w:rsidRDefault="007D04FD" w:rsidP="001C6A68">
      <w:pPr>
        <w:spacing w:after="0"/>
      </w:pPr>
      <w:r w:rsidRPr="007D04FD">
        <w:t xml:space="preserve">Pride Milling, on the other hand, is owned by two individuals and owns three white maize milling plants.  It also operates a food and feed facility that manufactures a range of grains, beans and pulse related products. </w:t>
      </w:r>
    </w:p>
    <w:p w:rsidR="001C6A68" w:rsidRPr="007D04FD" w:rsidRDefault="001C6A68" w:rsidP="001C6A68">
      <w:pPr>
        <w:spacing w:after="0"/>
      </w:pPr>
    </w:p>
    <w:p w:rsidR="00386575" w:rsidRDefault="007D04FD" w:rsidP="001C6A68">
      <w:pPr>
        <w:spacing w:after="0"/>
      </w:pPr>
      <w:r w:rsidRPr="007D04FD">
        <w:t xml:space="preserve">The transaction is to be implemented in two phases, the initial involves AFGRI acquiring a percentage of the shares, </w:t>
      </w:r>
      <w:r w:rsidR="00386575">
        <w:t>and the second phase will see AFGRI</w:t>
      </w:r>
      <w:r w:rsidRPr="007D04FD">
        <w:t xml:space="preserve"> acquire the remainder. </w:t>
      </w:r>
      <w:r w:rsidR="003173E5">
        <w:t>It was agreed that</w:t>
      </w:r>
      <w:r w:rsidRPr="007D04FD">
        <w:t xml:space="preserve"> the merging parties </w:t>
      </w:r>
      <w:r w:rsidR="003173E5">
        <w:t xml:space="preserve">will notify the Commission if they implement the Tranche B sale on or before the effective date, or if the Tranche B sale is implemented after the effective date.  </w:t>
      </w:r>
    </w:p>
    <w:p w:rsidR="003173E5" w:rsidRDefault="003173E5" w:rsidP="001C6A68">
      <w:pPr>
        <w:spacing w:after="0"/>
      </w:pPr>
    </w:p>
    <w:p w:rsidR="00386575" w:rsidRPr="00980FEF" w:rsidRDefault="00980FEF" w:rsidP="001C6A68">
      <w:pPr>
        <w:spacing w:after="0"/>
        <w:rPr>
          <w:b/>
        </w:rPr>
      </w:pPr>
      <w:r w:rsidRPr="00980FEF">
        <w:rPr>
          <w:b/>
        </w:rPr>
        <w:t xml:space="preserve">Tribunal </w:t>
      </w:r>
      <w:r w:rsidR="007C4F3A">
        <w:rPr>
          <w:b/>
        </w:rPr>
        <w:t xml:space="preserve">confirms </w:t>
      </w:r>
      <w:proofErr w:type="spellStart"/>
      <w:r w:rsidR="007C4F3A">
        <w:rPr>
          <w:b/>
        </w:rPr>
        <w:t>Eukor</w:t>
      </w:r>
      <w:proofErr w:type="spellEnd"/>
      <w:r w:rsidR="007C4F3A">
        <w:rPr>
          <w:b/>
        </w:rPr>
        <w:t xml:space="preserve"> Car Carriers </w:t>
      </w:r>
      <w:r w:rsidRPr="00980FEF">
        <w:rPr>
          <w:b/>
        </w:rPr>
        <w:t>R15m fine</w:t>
      </w:r>
    </w:p>
    <w:p w:rsidR="00386575" w:rsidRPr="001C6A68" w:rsidRDefault="00386575" w:rsidP="001C6A68">
      <w:pPr>
        <w:spacing w:after="0"/>
      </w:pPr>
    </w:p>
    <w:p w:rsidR="007D04FD" w:rsidRPr="001C6A68" w:rsidRDefault="007D04FD" w:rsidP="001C6A68">
      <w:pPr>
        <w:spacing w:after="0"/>
        <w:rPr>
          <w:rFonts w:eastAsia="Times New Roman" w:cs="Courier New"/>
          <w:color w:val="000000"/>
          <w:shd w:val="clear" w:color="auto" w:fill="FFFFFF"/>
        </w:rPr>
      </w:pPr>
      <w:r w:rsidRPr="007D04FD">
        <w:rPr>
          <w:rFonts w:eastAsia="Times New Roman" w:cs="Courier New"/>
          <w:color w:val="000000"/>
          <w:shd w:val="clear" w:color="auto" w:fill="FFFFFF"/>
        </w:rPr>
        <w:t>The Tribunal</w:t>
      </w:r>
      <w:r w:rsidR="003173E5">
        <w:rPr>
          <w:rFonts w:eastAsia="Times New Roman" w:cs="Courier New"/>
          <w:color w:val="000000"/>
          <w:shd w:val="clear" w:color="auto" w:fill="FFFFFF"/>
        </w:rPr>
        <w:t xml:space="preserve"> has confirmed the consent agreement between </w:t>
      </w:r>
      <w:r w:rsidRPr="007D04FD">
        <w:rPr>
          <w:rFonts w:eastAsia="Times New Roman" w:cs="Courier New"/>
          <w:color w:val="000000"/>
          <w:shd w:val="clear" w:color="auto" w:fill="FFFFFF"/>
        </w:rPr>
        <w:t xml:space="preserve">shipping transportation company </w:t>
      </w:r>
      <w:proofErr w:type="spellStart"/>
      <w:r w:rsidRPr="007D04FD">
        <w:rPr>
          <w:rFonts w:eastAsia="Times New Roman" w:cs="Courier New"/>
          <w:b/>
          <w:color w:val="000000"/>
          <w:shd w:val="clear" w:color="auto" w:fill="FFFFFF"/>
        </w:rPr>
        <w:t>Eukor</w:t>
      </w:r>
      <w:proofErr w:type="spellEnd"/>
      <w:r w:rsidRPr="007D04FD">
        <w:rPr>
          <w:rFonts w:eastAsia="Times New Roman" w:cs="Courier New"/>
          <w:b/>
          <w:color w:val="000000"/>
          <w:shd w:val="clear" w:color="auto" w:fill="FFFFFF"/>
        </w:rPr>
        <w:t xml:space="preserve"> Car Carriers Inc</w:t>
      </w:r>
      <w:r w:rsidR="003173E5">
        <w:rPr>
          <w:rFonts w:eastAsia="Times New Roman" w:cs="Courier New"/>
          <w:color w:val="000000"/>
          <w:shd w:val="clear" w:color="auto" w:fill="FFFFFF"/>
        </w:rPr>
        <w:t xml:space="preserve"> and the Competition Commission. </w:t>
      </w:r>
    </w:p>
    <w:p w:rsidR="001C6A68" w:rsidRPr="007D04FD" w:rsidRDefault="001C6A68" w:rsidP="001C6A68">
      <w:pPr>
        <w:spacing w:after="0"/>
        <w:rPr>
          <w:rFonts w:eastAsia="Times New Roman" w:cs="Courier New"/>
          <w:color w:val="000000"/>
          <w:shd w:val="clear" w:color="auto" w:fill="FFFFFF"/>
        </w:rPr>
      </w:pPr>
    </w:p>
    <w:p w:rsidR="007D04FD" w:rsidRPr="001C6A68" w:rsidRDefault="007D04FD" w:rsidP="001C6A68">
      <w:pPr>
        <w:spacing w:after="0"/>
        <w:rPr>
          <w:rFonts w:eastAsia="Times New Roman" w:cs="Courier New"/>
          <w:color w:val="000000"/>
          <w:shd w:val="clear" w:color="auto" w:fill="FFFFFF"/>
        </w:rPr>
      </w:pPr>
      <w:r w:rsidRPr="007D04FD">
        <w:rPr>
          <w:rFonts w:eastAsia="Times New Roman" w:cs="Courier New"/>
          <w:color w:val="000000"/>
          <w:shd w:val="clear" w:color="auto" w:fill="FFFFFF"/>
        </w:rPr>
        <w:t>The a</w:t>
      </w:r>
      <w:r w:rsidR="00386575">
        <w:rPr>
          <w:rFonts w:eastAsia="Times New Roman" w:cs="Courier New"/>
          <w:color w:val="000000"/>
          <w:shd w:val="clear" w:color="auto" w:fill="FFFFFF"/>
        </w:rPr>
        <w:t>dministrative penalty imposed on</w:t>
      </w:r>
      <w:r w:rsidRPr="007D04FD">
        <w:rPr>
          <w:rFonts w:eastAsia="Times New Roman" w:cs="Courier New"/>
          <w:color w:val="000000"/>
          <w:shd w:val="clear" w:color="auto" w:fill="FFFFFF"/>
        </w:rPr>
        <w:t xml:space="preserve"> </w:t>
      </w:r>
      <w:proofErr w:type="spellStart"/>
      <w:r w:rsidRPr="007D04FD">
        <w:rPr>
          <w:rFonts w:eastAsia="Times New Roman" w:cs="Courier New"/>
          <w:color w:val="000000"/>
          <w:shd w:val="clear" w:color="auto" w:fill="FFFFFF"/>
        </w:rPr>
        <w:t>Eukor</w:t>
      </w:r>
      <w:proofErr w:type="spellEnd"/>
      <w:r w:rsidRPr="007D04FD">
        <w:rPr>
          <w:rFonts w:eastAsia="Times New Roman" w:cs="Courier New"/>
          <w:color w:val="000000"/>
          <w:shd w:val="clear" w:color="auto" w:fill="FFFFFF"/>
        </w:rPr>
        <w:t xml:space="preserve"> is R15 288 976.</w:t>
      </w:r>
      <w:r w:rsidR="00386575">
        <w:rPr>
          <w:rFonts w:eastAsia="Times New Roman" w:cs="Courier New"/>
          <w:color w:val="000000"/>
          <w:shd w:val="clear" w:color="auto" w:fill="FFFFFF"/>
        </w:rPr>
        <w:t xml:space="preserve"> </w:t>
      </w:r>
      <w:r w:rsidRPr="007D04FD">
        <w:rPr>
          <w:rFonts w:eastAsia="Times New Roman" w:cs="Courier New"/>
          <w:color w:val="000000"/>
          <w:shd w:val="clear" w:color="auto" w:fill="FFFFFF"/>
        </w:rPr>
        <w:t xml:space="preserve">Some other companies operating in the market have already reached agreements with the Commission. </w:t>
      </w:r>
    </w:p>
    <w:p w:rsidR="001C6A68" w:rsidRPr="007D04FD" w:rsidRDefault="001C6A68" w:rsidP="001C6A68">
      <w:pPr>
        <w:spacing w:after="0"/>
        <w:rPr>
          <w:rFonts w:eastAsia="Times New Roman" w:cs="Courier New"/>
          <w:color w:val="000000"/>
          <w:shd w:val="clear" w:color="auto" w:fill="FFFFFF"/>
        </w:rPr>
      </w:pPr>
    </w:p>
    <w:p w:rsidR="007D04FD" w:rsidRPr="001C6A68" w:rsidRDefault="007D04FD" w:rsidP="001C6A68">
      <w:pPr>
        <w:spacing w:after="0"/>
        <w:rPr>
          <w:rFonts w:eastAsia="Times New Roman" w:cs="Courier New"/>
          <w:color w:val="000000"/>
          <w:shd w:val="clear" w:color="auto" w:fill="FFFFFF"/>
        </w:rPr>
      </w:pPr>
      <w:r w:rsidRPr="007D04FD">
        <w:rPr>
          <w:rFonts w:eastAsia="Times New Roman" w:cs="Courier New"/>
          <w:color w:val="000000"/>
          <w:shd w:val="clear" w:color="auto" w:fill="FFFFFF"/>
        </w:rPr>
        <w:t xml:space="preserve">The companies are involved </w:t>
      </w:r>
      <w:r w:rsidR="003173E5">
        <w:rPr>
          <w:rFonts w:eastAsia="Times New Roman" w:cs="Courier New"/>
          <w:color w:val="000000"/>
          <w:shd w:val="clear" w:color="auto" w:fill="FFFFFF"/>
        </w:rPr>
        <w:t xml:space="preserve">in the </w:t>
      </w:r>
      <w:r w:rsidRPr="007D04FD">
        <w:rPr>
          <w:rFonts w:eastAsia="Times New Roman" w:cs="Courier New"/>
          <w:color w:val="000000"/>
          <w:shd w:val="clear" w:color="auto" w:fill="FFFFFF"/>
        </w:rPr>
        <w:t xml:space="preserve">transportation of vehicles, equipment and or machinery, including new and used vehicles, as well as new and used rolling construction and agricultural machinery by sea to and from South Africa.  </w:t>
      </w:r>
    </w:p>
    <w:p w:rsidR="001C6A68" w:rsidRPr="007D04FD" w:rsidRDefault="001C6A68" w:rsidP="001C6A68">
      <w:pPr>
        <w:spacing w:after="0"/>
        <w:rPr>
          <w:rFonts w:eastAsia="Times New Roman" w:cs="Courier New"/>
          <w:color w:val="000000"/>
          <w:shd w:val="clear" w:color="auto" w:fill="FFFFFF"/>
        </w:rPr>
      </w:pPr>
    </w:p>
    <w:p w:rsidR="007D04FD" w:rsidRPr="001C6A68" w:rsidRDefault="007D04FD" w:rsidP="001C6A68">
      <w:pPr>
        <w:spacing w:after="0"/>
        <w:rPr>
          <w:rFonts w:eastAsia="Times New Roman" w:cs="Courier New"/>
          <w:color w:val="000000"/>
          <w:shd w:val="clear" w:color="auto" w:fill="FFFFFF"/>
        </w:rPr>
      </w:pPr>
      <w:proofErr w:type="spellStart"/>
      <w:r w:rsidRPr="007D04FD">
        <w:rPr>
          <w:rFonts w:eastAsia="Times New Roman" w:cs="Courier New"/>
          <w:color w:val="000000"/>
          <w:shd w:val="clear" w:color="auto" w:fill="FFFFFF"/>
        </w:rPr>
        <w:t>Eukor</w:t>
      </w:r>
      <w:proofErr w:type="spellEnd"/>
      <w:r w:rsidRPr="007D04FD">
        <w:rPr>
          <w:rFonts w:eastAsia="Times New Roman" w:cs="Courier New"/>
          <w:color w:val="000000"/>
          <w:shd w:val="clear" w:color="auto" w:fill="FFFFFF"/>
        </w:rPr>
        <w:t xml:space="preserve"> was involved in price fixing, collusive tendering and market division </w:t>
      </w:r>
      <w:r w:rsidR="001109BB" w:rsidRPr="001C6A68">
        <w:rPr>
          <w:rFonts w:eastAsia="Times New Roman" w:cs="Courier New"/>
          <w:color w:val="000000"/>
          <w:shd w:val="clear" w:color="auto" w:fill="FFFFFF"/>
        </w:rPr>
        <w:t xml:space="preserve">from 2007 up to and including </w:t>
      </w:r>
      <w:r w:rsidRPr="007D04FD">
        <w:rPr>
          <w:rFonts w:eastAsia="Times New Roman" w:cs="Courier New"/>
          <w:color w:val="000000"/>
          <w:shd w:val="clear" w:color="auto" w:fill="FFFFFF"/>
        </w:rPr>
        <w:t>2012 in contracts involving: BMW South Africa; Volk</w:t>
      </w:r>
      <w:r w:rsidR="00386575">
        <w:rPr>
          <w:rFonts w:eastAsia="Times New Roman" w:cs="Courier New"/>
          <w:color w:val="000000"/>
          <w:shd w:val="clear" w:color="auto" w:fill="FFFFFF"/>
        </w:rPr>
        <w:t>s</w:t>
      </w:r>
      <w:r w:rsidRPr="007D04FD">
        <w:rPr>
          <w:rFonts w:eastAsia="Times New Roman" w:cs="Courier New"/>
          <w:color w:val="000000"/>
          <w:shd w:val="clear" w:color="auto" w:fill="FFFFFF"/>
        </w:rPr>
        <w:t>wagen AG and Volkswagen of South Africa; Nissan Motor Corporation; Volvo Construction Equipment; two charges against Volvo Construction Equipment; Daim</w:t>
      </w:r>
      <w:r w:rsidR="00386575">
        <w:rPr>
          <w:rFonts w:eastAsia="Times New Roman" w:cs="Courier New"/>
          <w:color w:val="000000"/>
          <w:shd w:val="clear" w:color="auto" w:fill="FFFFFF"/>
        </w:rPr>
        <w:t xml:space="preserve">ler Motor Co Ltd and </w:t>
      </w:r>
      <w:proofErr w:type="spellStart"/>
      <w:r w:rsidR="00386575">
        <w:rPr>
          <w:rFonts w:eastAsia="Times New Roman" w:cs="Courier New"/>
          <w:color w:val="000000"/>
          <w:shd w:val="clear" w:color="auto" w:fill="FFFFFF"/>
        </w:rPr>
        <w:t>Maruti</w:t>
      </w:r>
      <w:proofErr w:type="spellEnd"/>
      <w:r w:rsidR="00386575">
        <w:rPr>
          <w:rFonts w:eastAsia="Times New Roman" w:cs="Courier New"/>
          <w:color w:val="000000"/>
          <w:shd w:val="clear" w:color="auto" w:fill="FFFFFF"/>
        </w:rPr>
        <w:t xml:space="preserve"> Suzu</w:t>
      </w:r>
      <w:r w:rsidRPr="007D04FD">
        <w:rPr>
          <w:rFonts w:eastAsia="Times New Roman" w:cs="Courier New"/>
          <w:color w:val="000000"/>
          <w:shd w:val="clear" w:color="auto" w:fill="FFFFFF"/>
        </w:rPr>
        <w:t xml:space="preserve">ki. </w:t>
      </w:r>
    </w:p>
    <w:p w:rsidR="00980FEF" w:rsidRPr="00980FEF" w:rsidRDefault="007C4F3A" w:rsidP="001C6A68">
      <w:pPr>
        <w:spacing w:before="100" w:beforeAutospacing="1" w:after="0" w:line="270" w:lineRule="atLeast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Immunity for </w:t>
      </w:r>
      <w:r w:rsidR="00980FEF" w:rsidRPr="00980FEF">
        <w:rPr>
          <w:rFonts w:eastAsia="Times New Roman" w:cs="Arial"/>
          <w:b/>
        </w:rPr>
        <w:t xml:space="preserve">WBHO </w:t>
      </w:r>
      <w:r>
        <w:rPr>
          <w:rFonts w:eastAsia="Times New Roman" w:cs="Arial"/>
          <w:b/>
        </w:rPr>
        <w:t xml:space="preserve">in 10 projects </w:t>
      </w:r>
    </w:p>
    <w:p w:rsidR="007C4F3A" w:rsidRDefault="001C6A68" w:rsidP="001C6A68">
      <w:pPr>
        <w:spacing w:before="100" w:beforeAutospacing="1" w:after="0" w:line="270" w:lineRule="atLeast"/>
        <w:jc w:val="both"/>
        <w:rPr>
          <w:rFonts w:eastAsia="Times New Roman" w:cs="Arial"/>
        </w:rPr>
      </w:pPr>
      <w:r w:rsidRPr="001C6A68">
        <w:rPr>
          <w:rFonts w:eastAsia="Times New Roman" w:cs="Arial"/>
        </w:rPr>
        <w:t xml:space="preserve">The Competition </w:t>
      </w:r>
      <w:r w:rsidR="007C4F3A">
        <w:rPr>
          <w:rFonts w:eastAsia="Times New Roman" w:cs="Arial"/>
        </w:rPr>
        <w:t xml:space="preserve">Tribunal </w:t>
      </w:r>
      <w:r w:rsidRPr="001C6A68">
        <w:rPr>
          <w:rFonts w:eastAsia="Times New Roman" w:cs="Arial"/>
        </w:rPr>
        <w:t xml:space="preserve">has </w:t>
      </w:r>
      <w:r w:rsidR="007C4F3A">
        <w:rPr>
          <w:rFonts w:eastAsia="Times New Roman" w:cs="Arial"/>
        </w:rPr>
        <w:t xml:space="preserve">confirmed </w:t>
      </w:r>
      <w:r w:rsidRPr="001C6A68">
        <w:rPr>
          <w:rFonts w:eastAsia="Times New Roman" w:cs="Arial"/>
        </w:rPr>
        <w:t xml:space="preserve">a settlement agreement </w:t>
      </w:r>
      <w:r w:rsidR="007C4F3A">
        <w:rPr>
          <w:rFonts w:eastAsia="Times New Roman" w:cs="Arial"/>
        </w:rPr>
        <w:t xml:space="preserve">between </w:t>
      </w:r>
      <w:r w:rsidRPr="001C6A68">
        <w:rPr>
          <w:rFonts w:eastAsia="Times New Roman" w:cs="Arial"/>
        </w:rPr>
        <w:t>Wilson Bayley Homes-</w:t>
      </w:r>
      <w:proofErr w:type="spellStart"/>
      <w:r w:rsidRPr="001C6A68">
        <w:rPr>
          <w:rFonts w:eastAsia="Times New Roman" w:cs="Arial"/>
        </w:rPr>
        <w:t>Ovcon</w:t>
      </w:r>
      <w:proofErr w:type="spellEnd"/>
      <w:r w:rsidRPr="001C6A68">
        <w:rPr>
          <w:rFonts w:eastAsia="Times New Roman" w:cs="Arial"/>
        </w:rPr>
        <w:t xml:space="preserve"> Ltd (WBHO)</w:t>
      </w:r>
      <w:r w:rsidR="007C4F3A">
        <w:rPr>
          <w:rFonts w:eastAsia="Times New Roman" w:cs="Arial"/>
        </w:rPr>
        <w:t xml:space="preserve"> and the Competition Commission.</w:t>
      </w:r>
    </w:p>
    <w:p w:rsidR="001C6A68" w:rsidRPr="001C6A68" w:rsidRDefault="007C4F3A" w:rsidP="001C6A68">
      <w:pPr>
        <w:spacing w:before="100" w:beforeAutospacing="1" w:after="0" w:line="270" w:lineRule="atLeast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WBHO has been granted </w:t>
      </w:r>
      <w:r w:rsidR="001C6A68" w:rsidRPr="001C6A68">
        <w:rPr>
          <w:rFonts w:eastAsia="Times New Roman" w:cs="Arial"/>
        </w:rPr>
        <w:t>immunity from an administrative penalty in relation to its participation in a number of prohibited practices in contravention of section 4(1</w:t>
      </w:r>
      <w:proofErr w:type="gramStart"/>
      <w:r w:rsidR="001C6A68" w:rsidRPr="001C6A68">
        <w:rPr>
          <w:rFonts w:eastAsia="Times New Roman" w:cs="Arial"/>
        </w:rPr>
        <w:t>)(</w:t>
      </w:r>
      <w:proofErr w:type="gramEnd"/>
      <w:r w:rsidR="001C6A68" w:rsidRPr="001C6A68">
        <w:rPr>
          <w:rFonts w:eastAsia="Times New Roman" w:cs="Arial"/>
        </w:rPr>
        <w:t xml:space="preserve">b)(iii) of the Act. </w:t>
      </w:r>
      <w:r>
        <w:rPr>
          <w:rFonts w:eastAsia="Times New Roman" w:cs="Arial"/>
        </w:rPr>
        <w:t xml:space="preserve">The settlement has </w:t>
      </w:r>
      <w:proofErr w:type="gramStart"/>
      <w:r>
        <w:rPr>
          <w:rFonts w:eastAsia="Times New Roman" w:cs="Arial"/>
        </w:rPr>
        <w:t>been  delayed</w:t>
      </w:r>
      <w:proofErr w:type="gramEnd"/>
      <w:r>
        <w:rPr>
          <w:rFonts w:eastAsia="Times New Roman" w:cs="Arial"/>
        </w:rPr>
        <w:t xml:space="preserve"> some time because of disagreement between WBHO and the Commission over the wording of the consent order. </w:t>
      </w:r>
    </w:p>
    <w:p w:rsidR="001C6A68" w:rsidRDefault="001C6A68" w:rsidP="001C6A68">
      <w:pPr>
        <w:spacing w:before="100" w:beforeAutospacing="1" w:after="0" w:line="270" w:lineRule="atLeast"/>
        <w:jc w:val="both"/>
        <w:rPr>
          <w:rFonts w:eastAsia="Times New Roman" w:cs="Arial"/>
        </w:rPr>
      </w:pPr>
      <w:r w:rsidRPr="001C6A68">
        <w:rPr>
          <w:rFonts w:eastAsia="Times New Roman" w:cs="Arial"/>
        </w:rPr>
        <w:t xml:space="preserve">The settlement agreement relates to collusive tendering in the construction industry, in which parties submitted cover prices with a view to allocate projects. </w:t>
      </w:r>
    </w:p>
    <w:p w:rsidR="00980FEF" w:rsidRDefault="00980FEF" w:rsidP="001C6A68">
      <w:pPr>
        <w:spacing w:after="0" w:line="270" w:lineRule="atLeast"/>
        <w:jc w:val="both"/>
        <w:rPr>
          <w:rFonts w:eastAsia="Times New Roman" w:cs="Arial"/>
        </w:rPr>
      </w:pPr>
    </w:p>
    <w:p w:rsidR="001C6A68" w:rsidRDefault="001C6A68" w:rsidP="001C6A68">
      <w:pPr>
        <w:spacing w:after="0" w:line="270" w:lineRule="atLeast"/>
        <w:jc w:val="both"/>
        <w:rPr>
          <w:rFonts w:eastAsia="Times New Roman" w:cs="Arial"/>
        </w:rPr>
      </w:pPr>
      <w:r w:rsidRPr="001C6A68">
        <w:rPr>
          <w:rFonts w:eastAsia="Times New Roman" w:cs="Arial"/>
        </w:rPr>
        <w:t xml:space="preserve">WBHO entered into negotiations with the Commission in order to settle the matter. </w:t>
      </w:r>
      <w:r w:rsidRPr="001C6A68">
        <w:rPr>
          <w:rFonts w:cs="Arial"/>
        </w:rPr>
        <w:t>As part of its settlement,</w:t>
      </w:r>
      <w:r w:rsidRPr="001C6A68">
        <w:rPr>
          <w:rFonts w:eastAsia="Times New Roman" w:cs="Arial"/>
        </w:rPr>
        <w:t xml:space="preserve"> WBHO has agreed not to engage in further prohibited practices and has amongst other things, implemented a competition law compliance </w:t>
      </w:r>
      <w:proofErr w:type="spellStart"/>
      <w:r w:rsidRPr="001C6A68">
        <w:rPr>
          <w:rFonts w:eastAsia="Times New Roman" w:cs="Arial"/>
        </w:rPr>
        <w:t>programme</w:t>
      </w:r>
      <w:proofErr w:type="spellEnd"/>
      <w:r w:rsidRPr="001C6A68">
        <w:rPr>
          <w:rFonts w:eastAsia="Times New Roman" w:cs="Arial"/>
        </w:rPr>
        <w:t xml:space="preserve"> to ensure that its employees, management, directors and agents do not engage in any future contraventions of the Act. </w:t>
      </w:r>
    </w:p>
    <w:p w:rsidR="00980FEF" w:rsidRDefault="00980FEF" w:rsidP="001C6A68">
      <w:pPr>
        <w:spacing w:after="0" w:line="270" w:lineRule="atLeast"/>
        <w:jc w:val="both"/>
        <w:rPr>
          <w:rFonts w:eastAsia="Times New Roman" w:cs="Arial"/>
        </w:rPr>
      </w:pPr>
    </w:p>
    <w:p w:rsidR="001C6A68" w:rsidRPr="00980FEF" w:rsidRDefault="00980FEF" w:rsidP="001C6A6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</w:rPr>
      </w:pPr>
      <w:r w:rsidRPr="00980FEF">
        <w:rPr>
          <w:rFonts w:eastAsia="Times New Roman" w:cs="Arial"/>
          <w:b/>
        </w:rPr>
        <w:t>Delatoy Group and others</w:t>
      </w:r>
      <w:r w:rsidR="007C4F3A">
        <w:rPr>
          <w:rFonts w:eastAsia="Times New Roman" w:cs="Arial"/>
          <w:b/>
        </w:rPr>
        <w:t xml:space="preserve"> to pay R4m settlement fine</w:t>
      </w:r>
    </w:p>
    <w:p w:rsidR="007D04FD" w:rsidRPr="007D04FD" w:rsidRDefault="007D04FD" w:rsidP="001C6A6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en-ZA"/>
        </w:rPr>
      </w:pPr>
      <w:r w:rsidRPr="007D04FD">
        <w:rPr>
          <w:rFonts w:eastAsiaTheme="minorEastAsia" w:cs="Arial"/>
          <w:lang w:eastAsia="en-ZA"/>
        </w:rPr>
        <w:t xml:space="preserve">The Tribunal </w:t>
      </w:r>
      <w:r w:rsidR="007C4F3A">
        <w:rPr>
          <w:rFonts w:eastAsiaTheme="minorEastAsia" w:cs="Arial"/>
          <w:lang w:eastAsia="en-ZA"/>
        </w:rPr>
        <w:t xml:space="preserve">has confirmed a </w:t>
      </w:r>
      <w:r w:rsidRPr="007D04FD">
        <w:rPr>
          <w:rFonts w:eastAsiaTheme="minorEastAsia" w:cs="Arial"/>
          <w:lang w:eastAsia="en-ZA"/>
        </w:rPr>
        <w:t xml:space="preserve">settlement agreement involving the </w:t>
      </w:r>
      <w:r w:rsidRPr="007D04FD">
        <w:rPr>
          <w:rFonts w:eastAsiaTheme="minorEastAsia" w:cs="Arial"/>
          <w:b/>
          <w:lang w:eastAsia="en-ZA"/>
        </w:rPr>
        <w:t xml:space="preserve">Delatoy Group </w:t>
      </w:r>
      <w:r w:rsidRPr="007D04FD">
        <w:rPr>
          <w:rFonts w:eastAsiaTheme="minorEastAsia" w:cs="Arial"/>
          <w:lang w:eastAsia="en-ZA"/>
        </w:rPr>
        <w:t xml:space="preserve">and related individuals and companies, who along with Cycad and </w:t>
      </w:r>
      <w:proofErr w:type="spellStart"/>
      <w:r w:rsidRPr="007D04FD">
        <w:rPr>
          <w:rFonts w:eastAsiaTheme="minorEastAsia" w:cs="Arial"/>
          <w:lang w:eastAsia="en-ZA"/>
        </w:rPr>
        <w:t>Phambili</w:t>
      </w:r>
      <w:proofErr w:type="spellEnd"/>
      <w:r w:rsidRPr="007D04FD">
        <w:rPr>
          <w:rFonts w:eastAsiaTheme="minorEastAsia" w:cs="Arial"/>
          <w:lang w:eastAsia="en-ZA"/>
        </w:rPr>
        <w:t>, were involved in cartel conduct in the market for the construction of steel pipelines.</w:t>
      </w:r>
    </w:p>
    <w:p w:rsidR="007D04FD" w:rsidRPr="007D04FD" w:rsidRDefault="007D04FD" w:rsidP="001C6A6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en-ZA"/>
        </w:rPr>
      </w:pPr>
    </w:p>
    <w:p w:rsidR="007D04FD" w:rsidRPr="007D04FD" w:rsidRDefault="007D04FD" w:rsidP="001C6A6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en-ZA"/>
        </w:rPr>
      </w:pPr>
      <w:r w:rsidRPr="007D04FD">
        <w:rPr>
          <w:rFonts w:eastAsiaTheme="minorEastAsia" w:cs="Arial"/>
          <w:lang w:eastAsia="en-ZA"/>
        </w:rPr>
        <w:t xml:space="preserve">This matter followed the Commission’s referral of a complaint to the Tribunal in February 2015 relating to the </w:t>
      </w:r>
      <w:proofErr w:type="spellStart"/>
      <w:r w:rsidRPr="007D04FD">
        <w:rPr>
          <w:rFonts w:eastAsiaTheme="minorEastAsia" w:cs="Arial"/>
          <w:lang w:eastAsia="en-ZA"/>
        </w:rPr>
        <w:t>Thabazimbi</w:t>
      </w:r>
      <w:proofErr w:type="spellEnd"/>
      <w:r w:rsidR="000D006F">
        <w:rPr>
          <w:rFonts w:eastAsiaTheme="minorEastAsia" w:cs="Arial"/>
          <w:lang w:eastAsia="en-ZA"/>
        </w:rPr>
        <w:t xml:space="preserve"> Pipeline</w:t>
      </w:r>
      <w:r w:rsidRPr="007D04FD">
        <w:rPr>
          <w:rFonts w:eastAsiaTheme="minorEastAsia" w:cs="Arial"/>
          <w:lang w:eastAsia="en-ZA"/>
        </w:rPr>
        <w:t xml:space="preserve"> Project in Limpopo. </w:t>
      </w:r>
      <w:r w:rsidR="007C4F3A">
        <w:rPr>
          <w:rFonts w:eastAsiaTheme="minorEastAsia" w:cs="Arial"/>
          <w:lang w:eastAsia="en-ZA"/>
        </w:rPr>
        <w:t>In this matter Cycad is</w:t>
      </w:r>
      <w:r w:rsidRPr="007D04FD">
        <w:rPr>
          <w:rFonts w:eastAsiaTheme="minorEastAsia" w:cs="Arial"/>
          <w:lang w:eastAsia="en-ZA"/>
        </w:rPr>
        <w:t xml:space="preserve"> the </w:t>
      </w:r>
      <w:r w:rsidR="007C4F3A">
        <w:rPr>
          <w:rFonts w:eastAsiaTheme="minorEastAsia" w:cs="Arial"/>
          <w:lang w:eastAsia="en-ZA"/>
        </w:rPr>
        <w:t xml:space="preserve">leniency </w:t>
      </w:r>
      <w:r w:rsidRPr="007D04FD">
        <w:rPr>
          <w:rFonts w:eastAsiaTheme="minorEastAsia" w:cs="Arial"/>
          <w:lang w:eastAsia="en-ZA"/>
        </w:rPr>
        <w:t xml:space="preserve">applicant, and </w:t>
      </w:r>
      <w:proofErr w:type="spellStart"/>
      <w:r w:rsidRPr="007D04FD">
        <w:rPr>
          <w:rFonts w:eastAsiaTheme="minorEastAsia" w:cs="Arial"/>
          <w:lang w:eastAsia="en-ZA"/>
        </w:rPr>
        <w:t>Phambili</w:t>
      </w:r>
      <w:proofErr w:type="spellEnd"/>
      <w:r w:rsidRPr="007D04FD">
        <w:rPr>
          <w:rFonts w:eastAsiaTheme="minorEastAsia" w:cs="Arial"/>
          <w:lang w:eastAsia="en-ZA"/>
        </w:rPr>
        <w:t xml:space="preserve"> Pipelines settled with the Commission in August 2014. </w:t>
      </w:r>
    </w:p>
    <w:p w:rsidR="007D04FD" w:rsidRPr="001C6A68" w:rsidRDefault="007D04FD" w:rsidP="001C6A6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en-ZA"/>
        </w:rPr>
      </w:pPr>
    </w:p>
    <w:p w:rsidR="007D04FD" w:rsidRDefault="007D04FD" w:rsidP="001C6A6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en-ZA"/>
        </w:rPr>
      </w:pPr>
      <w:r w:rsidRPr="007D04FD">
        <w:rPr>
          <w:rFonts w:eastAsiaTheme="minorEastAsia" w:cs="Arial"/>
          <w:lang w:eastAsia="en-ZA"/>
        </w:rPr>
        <w:t xml:space="preserve">Delatoy Investments is a wholly-owned subsidiary of Delatoy Holdings. ATPD and Delatoy Holdings are both jointly controlled by Dreamworld 344 and Dreamworld 345, meaning they each hold 50% in ATPD and Delatoy Holdings. Dreamworld 344 is wholly-owned by the P.D.D Family Trust, whilst Dreamworld 345 is wholly-owned by the Andrew Toy Family Trust. All these companies form part of a group of companies that are jointly controlled by the two family trusts, which in turn hold investments for the </w:t>
      </w:r>
      <w:proofErr w:type="spellStart"/>
      <w:r w:rsidRPr="007D04FD">
        <w:rPr>
          <w:rFonts w:eastAsiaTheme="minorEastAsia" w:cs="Arial"/>
          <w:lang w:eastAsia="en-ZA"/>
        </w:rPr>
        <w:t>Delamere</w:t>
      </w:r>
      <w:proofErr w:type="spellEnd"/>
      <w:r w:rsidRPr="007D04FD">
        <w:rPr>
          <w:rFonts w:eastAsiaTheme="minorEastAsia" w:cs="Arial"/>
          <w:lang w:eastAsia="en-ZA"/>
        </w:rPr>
        <w:t xml:space="preserve"> and Toy families. The remainder of the respondents comprise of the trustees of the P.D.D Trust and Andrew Toy Family Trust.</w:t>
      </w:r>
    </w:p>
    <w:p w:rsidR="007C4F3A" w:rsidRDefault="007C4F3A" w:rsidP="001C6A6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en-ZA"/>
        </w:rPr>
      </w:pPr>
    </w:p>
    <w:p w:rsidR="007D04FD" w:rsidRDefault="007D04FD" w:rsidP="001C6A6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en-ZA"/>
        </w:rPr>
      </w:pPr>
      <w:proofErr w:type="spellStart"/>
      <w:r w:rsidRPr="007D04FD">
        <w:rPr>
          <w:rFonts w:eastAsiaTheme="minorEastAsia" w:cs="Arial"/>
          <w:lang w:eastAsia="en-ZA"/>
        </w:rPr>
        <w:t>Phambili</w:t>
      </w:r>
      <w:proofErr w:type="spellEnd"/>
      <w:r w:rsidRPr="007D04FD">
        <w:rPr>
          <w:rFonts w:eastAsiaTheme="minorEastAsia" w:cs="Arial"/>
          <w:lang w:eastAsia="en-ZA"/>
        </w:rPr>
        <w:t>, Cycad and Delatoy Investments (then trading as Shearwater Construction), were invited to submit bids for the pipeline project and agreed that the winner would pay a losers’ fee to the successful bidders, inflating their bids to cover the fee. The loser’s fee was</w:t>
      </w:r>
      <w:r w:rsidR="000D006F">
        <w:rPr>
          <w:rFonts w:eastAsiaTheme="minorEastAsia" w:cs="Arial"/>
          <w:lang w:eastAsia="en-ZA"/>
        </w:rPr>
        <w:t>,</w:t>
      </w:r>
      <w:r w:rsidRPr="007D04FD">
        <w:rPr>
          <w:rFonts w:eastAsiaTheme="minorEastAsia" w:cs="Arial"/>
          <w:lang w:eastAsia="en-ZA"/>
        </w:rPr>
        <w:t xml:space="preserve"> however</w:t>
      </w:r>
      <w:r w:rsidR="000D006F">
        <w:rPr>
          <w:rFonts w:eastAsiaTheme="minorEastAsia" w:cs="Arial"/>
          <w:lang w:eastAsia="en-ZA"/>
        </w:rPr>
        <w:t>,</w:t>
      </w:r>
      <w:r w:rsidRPr="007D04FD">
        <w:rPr>
          <w:rFonts w:eastAsiaTheme="minorEastAsia" w:cs="Arial"/>
          <w:lang w:eastAsia="en-ZA"/>
        </w:rPr>
        <w:t xml:space="preserve"> paid to ATPD and not Shearwaters Construction.  </w:t>
      </w:r>
    </w:p>
    <w:p w:rsidR="007C4F3A" w:rsidRDefault="007C4F3A" w:rsidP="001C6A6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en-ZA"/>
        </w:rPr>
      </w:pPr>
    </w:p>
    <w:p w:rsidR="007C4F3A" w:rsidRDefault="007C4F3A" w:rsidP="007C4F3A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en-ZA"/>
        </w:rPr>
      </w:pPr>
      <w:r>
        <w:rPr>
          <w:rFonts w:eastAsiaTheme="minorEastAsia" w:cs="Arial"/>
          <w:lang w:eastAsia="en-ZA"/>
        </w:rPr>
        <w:t xml:space="preserve">Delatoy initially brought an action questioning whether it could be considered a company, and the Tribunal found that it was a company. </w:t>
      </w:r>
    </w:p>
    <w:p w:rsidR="007C4F3A" w:rsidRPr="007D04FD" w:rsidRDefault="007C4F3A" w:rsidP="001C6A68">
      <w:pPr>
        <w:autoSpaceDE w:val="0"/>
        <w:autoSpaceDN w:val="0"/>
        <w:adjustRightInd w:val="0"/>
        <w:spacing w:after="0" w:line="240" w:lineRule="auto"/>
        <w:jc w:val="both"/>
        <w:rPr>
          <w:lang w:val="en-ZA"/>
        </w:rPr>
      </w:pPr>
    </w:p>
    <w:p w:rsidR="007D04FD" w:rsidRPr="007D04FD" w:rsidRDefault="007D04FD" w:rsidP="001C6A68">
      <w:pPr>
        <w:autoSpaceDE w:val="0"/>
        <w:autoSpaceDN w:val="0"/>
        <w:adjustRightInd w:val="0"/>
        <w:spacing w:after="0" w:line="240" w:lineRule="auto"/>
        <w:jc w:val="both"/>
        <w:rPr>
          <w:lang w:val="en-ZA"/>
        </w:rPr>
      </w:pPr>
      <w:r w:rsidRPr="007D04FD">
        <w:rPr>
          <w:rFonts w:eastAsiaTheme="minorEastAsia" w:cs="Arial"/>
          <w:lang w:eastAsia="en-ZA"/>
        </w:rPr>
        <w:t>Delatoy Group, which comprises of companies and individuals have agreed to pay a collective penalty of R4 136 122</w:t>
      </w:r>
      <w:proofErr w:type="gramStart"/>
      <w:r w:rsidRPr="007D04FD">
        <w:rPr>
          <w:rFonts w:eastAsiaTheme="minorEastAsia" w:cs="Arial"/>
          <w:lang w:eastAsia="en-ZA"/>
        </w:rPr>
        <w:t>,02</w:t>
      </w:r>
      <w:proofErr w:type="gramEnd"/>
      <w:r w:rsidRPr="007D04FD">
        <w:rPr>
          <w:rFonts w:eastAsiaTheme="minorEastAsia" w:cs="Arial"/>
          <w:lang w:eastAsia="en-ZA"/>
        </w:rPr>
        <w:t>.</w:t>
      </w:r>
    </w:p>
    <w:p w:rsidR="007D04FD" w:rsidRPr="001C6A68" w:rsidRDefault="007D04FD" w:rsidP="007D04FD">
      <w:pPr>
        <w:spacing w:after="0" w:line="240" w:lineRule="auto"/>
        <w:jc w:val="both"/>
        <w:rPr>
          <w:rFonts w:cs="Arial"/>
          <w:color w:val="000000"/>
          <w:lang w:val="en-ZA"/>
        </w:rPr>
      </w:pP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color w:val="000000"/>
          <w:lang w:val="en-ZA"/>
        </w:rPr>
      </w:pP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 xml:space="preserve">Issued by: 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color w:val="000000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 xml:space="preserve">Chantelle Benjamin 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color w:val="000000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>Communications: Competition Tribunal   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color w:val="000000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 xml:space="preserve">Tel (012)394 1383                                      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color w:val="000000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>Cell: +27 (0) 73 007 5603  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 xml:space="preserve">Twitter: @comptrib                                        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lang w:val="en-ZA"/>
        </w:rPr>
      </w:pPr>
      <w:r w:rsidRPr="007D04FD">
        <w:rPr>
          <w:rFonts w:cs="Arial"/>
          <w:color w:val="000000"/>
          <w:lang w:val="en-ZA" w:eastAsia="en-ZA"/>
        </w:rPr>
        <w:t xml:space="preserve">E-Mail: </w:t>
      </w:r>
      <w:hyperlink r:id="rId6" w:history="1">
        <w:r w:rsidRPr="001C6A68">
          <w:rPr>
            <w:rFonts w:cs="Arial"/>
            <w:color w:val="0000FF"/>
            <w:u w:val="single"/>
            <w:lang w:val="en-ZA" w:eastAsia="en-ZA"/>
          </w:rPr>
          <w:t>chantelleb@comptrib.co.za</w:t>
        </w:r>
      </w:hyperlink>
      <w:r w:rsidRPr="007D04FD">
        <w:rPr>
          <w:rFonts w:cs="Arial"/>
          <w:lang w:val="en-ZA"/>
        </w:rPr>
        <w:t xml:space="preserve"> 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color w:val="000000"/>
          <w:lang w:val="en-ZA"/>
        </w:rPr>
      </w:pP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color w:val="000000"/>
          <w:lang w:val="en-ZA"/>
        </w:rPr>
      </w:pP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>On Behalf Of: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>Lerato Motaung                                                   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 xml:space="preserve">Registrar: Competition Tribunal                                         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 xml:space="preserve">Tel: (012) 394 3355                                              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lang w:val="en-ZA" w:eastAsia="en-ZA"/>
        </w:rPr>
      </w:pPr>
      <w:r w:rsidRPr="007D04FD">
        <w:rPr>
          <w:rFonts w:cs="Arial"/>
          <w:color w:val="000000"/>
          <w:lang w:val="en-ZA" w:eastAsia="en-ZA"/>
        </w:rPr>
        <w:t xml:space="preserve">Cell: +27 (0) 82 556 3221                                               </w:t>
      </w:r>
    </w:p>
    <w:p w:rsidR="007D04FD" w:rsidRPr="007D04FD" w:rsidRDefault="007D04FD" w:rsidP="007D04FD">
      <w:pPr>
        <w:spacing w:after="0" w:line="240" w:lineRule="auto"/>
        <w:jc w:val="both"/>
        <w:rPr>
          <w:rFonts w:cs="Arial"/>
          <w:lang w:val="en-ZA"/>
        </w:rPr>
      </w:pPr>
      <w:r w:rsidRPr="007D04FD">
        <w:rPr>
          <w:rFonts w:cs="Arial"/>
          <w:color w:val="000000"/>
          <w:lang w:val="en-ZA" w:eastAsia="en-ZA"/>
        </w:rPr>
        <w:t xml:space="preserve">E-Mail: </w:t>
      </w:r>
      <w:hyperlink r:id="rId7" w:history="1">
        <w:r w:rsidRPr="001C6A68">
          <w:rPr>
            <w:rFonts w:cs="Arial"/>
            <w:color w:val="0000FF"/>
            <w:u w:val="single"/>
            <w:lang w:val="en-ZA" w:eastAsia="en-ZA"/>
          </w:rPr>
          <w:t>LeratoM@comptrib.co.za</w:t>
        </w:r>
      </w:hyperlink>
    </w:p>
    <w:p w:rsidR="003E6D12" w:rsidRDefault="00C770B6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FD"/>
    <w:rsid w:val="000D006F"/>
    <w:rsid w:val="001109BB"/>
    <w:rsid w:val="001C6A68"/>
    <w:rsid w:val="001F7C0C"/>
    <w:rsid w:val="002A5A09"/>
    <w:rsid w:val="003173E5"/>
    <w:rsid w:val="00386575"/>
    <w:rsid w:val="004755EC"/>
    <w:rsid w:val="007C4F3A"/>
    <w:rsid w:val="007D04FD"/>
    <w:rsid w:val="008A5835"/>
    <w:rsid w:val="00980FEF"/>
    <w:rsid w:val="00C7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12FDFB-0313-468E-8224-14A4AF07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4FD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chantelleb\AppData\Local\Microsoft\Windows\INetCache\Content.Outlook\OVZTB0PH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CCC3-34E7-4234-AA29-83CEF93F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2016-07-13T14:23:00Z</dcterms:created>
  <dcterms:modified xsi:type="dcterms:W3CDTF">2016-07-13T14:25:00Z</dcterms:modified>
</cp:coreProperties>
</file>