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88" w:rsidRPr="00B0166C" w:rsidRDefault="00B33B88" w:rsidP="00B33B88">
      <w:pPr>
        <w:jc w:val="center"/>
        <w:rPr>
          <w:rFonts w:ascii="Arial" w:hAnsi="Arial" w:cs="Arial"/>
          <w:b/>
        </w:rPr>
      </w:pPr>
      <w:r w:rsidRPr="00B0166C">
        <w:rPr>
          <w:rFonts w:ascii="Arial" w:hAnsi="Arial" w:cs="Arial"/>
          <w:b/>
          <w:noProof/>
        </w:rPr>
        <w:drawing>
          <wp:inline distT="0" distB="0" distL="0" distR="0" wp14:anchorId="5EBD7BE2" wp14:editId="264669D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B33B88" w:rsidRPr="00B0166C" w:rsidRDefault="00B33B88" w:rsidP="00B33B88">
      <w:pPr>
        <w:jc w:val="center"/>
        <w:rPr>
          <w:rFonts w:ascii="Arial" w:hAnsi="Arial" w:cs="Arial"/>
          <w:b/>
        </w:rPr>
      </w:pPr>
    </w:p>
    <w:p w:rsidR="00B33B88" w:rsidRPr="00B0166C" w:rsidRDefault="00B33B88" w:rsidP="00B33B88">
      <w:pPr>
        <w:jc w:val="center"/>
        <w:rPr>
          <w:rFonts w:ascii="Arial" w:hAnsi="Arial" w:cs="Arial"/>
          <w:b/>
        </w:rPr>
      </w:pPr>
    </w:p>
    <w:p w:rsidR="00B33B88" w:rsidRPr="00B0166C" w:rsidRDefault="00B33B88" w:rsidP="00B33B88">
      <w:pPr>
        <w:jc w:val="center"/>
        <w:rPr>
          <w:rFonts w:ascii="Arial" w:hAnsi="Arial" w:cs="Arial"/>
          <w:b/>
        </w:rPr>
      </w:pPr>
    </w:p>
    <w:p w:rsidR="00B33B88" w:rsidRPr="00B0166C" w:rsidRDefault="00E83B90" w:rsidP="00E83B90">
      <w:pPr>
        <w:jc w:val="center"/>
        <w:rPr>
          <w:rFonts w:ascii="Arial" w:hAnsi="Arial" w:cs="Arial"/>
          <w:b/>
        </w:rPr>
      </w:pPr>
      <w:r>
        <w:rPr>
          <w:rFonts w:ascii="Arial" w:hAnsi="Arial" w:cs="Arial"/>
          <w:b/>
        </w:rPr>
        <w:t xml:space="preserve">OUTCOME OF CASES ON THE </w:t>
      </w:r>
      <w:r w:rsidR="00B33B88" w:rsidRPr="00B0166C">
        <w:rPr>
          <w:rFonts w:ascii="Arial" w:hAnsi="Arial" w:cs="Arial"/>
          <w:b/>
        </w:rPr>
        <w:t>TRIBUNAL ROLL FOR WEDNESDAY</w:t>
      </w:r>
      <w:r w:rsidR="00B33B88">
        <w:rPr>
          <w:rFonts w:ascii="Arial" w:hAnsi="Arial" w:cs="Arial"/>
          <w:b/>
        </w:rPr>
        <w:t>, 12 APRIL 2017</w:t>
      </w:r>
    </w:p>
    <w:p w:rsidR="00B33B88" w:rsidRPr="00B0166C" w:rsidRDefault="00B33B88" w:rsidP="00B33B88">
      <w:pPr>
        <w:jc w:val="both"/>
        <w:rPr>
          <w:rFonts w:ascii="Arial" w:hAnsi="Arial" w:cs="Arial"/>
          <w:b/>
        </w:rPr>
      </w:pPr>
    </w:p>
    <w:p w:rsidR="00B33B88" w:rsidRPr="00B0166C" w:rsidRDefault="00B33B88" w:rsidP="00B33B88">
      <w:pPr>
        <w:jc w:val="both"/>
        <w:rPr>
          <w:rFonts w:ascii="Arial" w:hAnsi="Arial" w:cs="Arial"/>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128"/>
        <w:gridCol w:w="2687"/>
        <w:gridCol w:w="2355"/>
        <w:gridCol w:w="2180"/>
      </w:tblGrid>
      <w:tr w:rsidR="00E27D92" w:rsidRPr="00B0166C" w:rsidTr="00E27D92">
        <w:trPr>
          <w:trHeight w:val="972"/>
        </w:trPr>
        <w:tc>
          <w:tcPr>
            <w:tcW w:w="2262" w:type="dxa"/>
            <w:shd w:val="clear" w:color="auto" w:fill="996633"/>
          </w:tcPr>
          <w:p w:rsidR="00E27D92" w:rsidRPr="00B0166C" w:rsidRDefault="00E27D92" w:rsidP="00693376">
            <w:pPr>
              <w:rPr>
                <w:rFonts w:ascii="Arial" w:hAnsi="Arial" w:cs="Arial"/>
                <w:color w:val="FFFFFF" w:themeColor="background1"/>
              </w:rPr>
            </w:pPr>
            <w:r w:rsidRPr="00B0166C">
              <w:rPr>
                <w:rFonts w:ascii="Arial" w:hAnsi="Arial" w:cs="Arial"/>
                <w:color w:val="FFFFFF" w:themeColor="background1"/>
              </w:rPr>
              <w:t>Type of matter</w:t>
            </w:r>
          </w:p>
        </w:tc>
        <w:tc>
          <w:tcPr>
            <w:tcW w:w="2411" w:type="dxa"/>
            <w:shd w:val="clear" w:color="auto" w:fill="996633"/>
          </w:tcPr>
          <w:p w:rsidR="00E27D92" w:rsidRPr="00B0166C" w:rsidRDefault="00E27D92" w:rsidP="00693376">
            <w:pPr>
              <w:rPr>
                <w:rFonts w:ascii="Arial" w:hAnsi="Arial" w:cs="Arial"/>
                <w:color w:val="FFFFFF" w:themeColor="background1"/>
              </w:rPr>
            </w:pPr>
            <w:r w:rsidRPr="00B0166C">
              <w:rPr>
                <w:rFonts w:ascii="Arial" w:hAnsi="Arial" w:cs="Arial"/>
                <w:color w:val="FFFFFF" w:themeColor="background1"/>
              </w:rPr>
              <w:t>Parties involved</w:t>
            </w:r>
          </w:p>
        </w:tc>
        <w:tc>
          <w:tcPr>
            <w:tcW w:w="2410" w:type="dxa"/>
            <w:shd w:val="clear" w:color="auto" w:fill="996633"/>
          </w:tcPr>
          <w:p w:rsidR="00E27D92" w:rsidRPr="00B0166C" w:rsidRDefault="00E27D92" w:rsidP="00693376">
            <w:pPr>
              <w:rPr>
                <w:rFonts w:ascii="Arial" w:hAnsi="Arial" w:cs="Arial"/>
                <w:color w:val="FFFFFF" w:themeColor="background1"/>
              </w:rPr>
            </w:pPr>
            <w:r w:rsidRPr="00B0166C">
              <w:rPr>
                <w:rFonts w:ascii="Arial" w:hAnsi="Arial" w:cs="Arial"/>
                <w:color w:val="FFFFFF" w:themeColor="background1"/>
              </w:rPr>
              <w:t>Competition Commission’s recommendation to Tribunal</w:t>
            </w:r>
          </w:p>
        </w:tc>
        <w:tc>
          <w:tcPr>
            <w:tcW w:w="2267" w:type="dxa"/>
            <w:shd w:val="clear" w:color="auto" w:fill="996633"/>
          </w:tcPr>
          <w:p w:rsidR="00E27D92" w:rsidRPr="00B0166C" w:rsidRDefault="00E27D92" w:rsidP="00693376">
            <w:pPr>
              <w:rPr>
                <w:rFonts w:ascii="Arial" w:hAnsi="Arial" w:cs="Arial"/>
                <w:color w:val="FFFFFF" w:themeColor="background1"/>
              </w:rPr>
            </w:pPr>
            <w:r>
              <w:rPr>
                <w:rFonts w:ascii="Arial" w:hAnsi="Arial" w:cs="Arial"/>
                <w:color w:val="FFFFFF" w:themeColor="background1"/>
              </w:rPr>
              <w:t xml:space="preserve">Competition Tribunal decisions </w:t>
            </w:r>
          </w:p>
        </w:tc>
      </w:tr>
      <w:tr w:rsidR="00E27D92" w:rsidRPr="00B0166C" w:rsidTr="00E27D92">
        <w:trPr>
          <w:trHeight w:val="493"/>
        </w:trPr>
        <w:tc>
          <w:tcPr>
            <w:tcW w:w="2262" w:type="dxa"/>
          </w:tcPr>
          <w:p w:rsidR="00E27D92" w:rsidRPr="00B33B88" w:rsidRDefault="00E27D92" w:rsidP="00693376">
            <w:pPr>
              <w:jc w:val="both"/>
              <w:rPr>
                <w:rFonts w:ascii="Arial" w:hAnsi="Arial" w:cs="Arial"/>
              </w:rPr>
            </w:pPr>
            <w:r>
              <w:rPr>
                <w:rFonts w:ascii="Arial" w:hAnsi="Arial" w:cs="Arial"/>
              </w:rPr>
              <w:t xml:space="preserve">Large merger </w:t>
            </w:r>
          </w:p>
        </w:tc>
        <w:tc>
          <w:tcPr>
            <w:tcW w:w="2411" w:type="dxa"/>
          </w:tcPr>
          <w:p w:rsidR="00E27D92" w:rsidRPr="00303C00" w:rsidRDefault="00E27D92" w:rsidP="00693376">
            <w:pPr>
              <w:jc w:val="both"/>
              <w:rPr>
                <w:rFonts w:ascii="Arial" w:hAnsi="Arial" w:cs="Arial"/>
              </w:rPr>
            </w:pPr>
            <w:r w:rsidRPr="00303C00">
              <w:rPr>
                <w:rFonts w:ascii="Arial" w:hAnsi="Arial" w:cs="Arial"/>
                <w:color w:val="000000"/>
              </w:rPr>
              <w:t xml:space="preserve">EOH </w:t>
            </w:r>
            <w:proofErr w:type="spellStart"/>
            <w:r w:rsidRPr="00303C00">
              <w:rPr>
                <w:rFonts w:ascii="Arial" w:hAnsi="Arial" w:cs="Arial"/>
                <w:color w:val="000000"/>
              </w:rPr>
              <w:t>Mthomb</w:t>
            </w:r>
            <w:r w:rsidR="00303C00" w:rsidRPr="00303C00">
              <w:rPr>
                <w:rFonts w:ascii="Arial" w:hAnsi="Arial" w:cs="Arial"/>
                <w:color w:val="000000"/>
              </w:rPr>
              <w:t>o</w:t>
            </w:r>
            <w:proofErr w:type="spellEnd"/>
            <w:r w:rsidR="00303C00" w:rsidRPr="00303C00">
              <w:rPr>
                <w:rFonts w:ascii="Arial" w:hAnsi="Arial" w:cs="Arial"/>
                <w:color w:val="000000"/>
              </w:rPr>
              <w:t xml:space="preserve"> (Pty) Ltd And PricewaterhouseC</w:t>
            </w:r>
            <w:r w:rsidRPr="00303C00">
              <w:rPr>
                <w:rFonts w:ascii="Arial" w:hAnsi="Arial" w:cs="Arial"/>
                <w:color w:val="000000"/>
              </w:rPr>
              <w:t>oopers Combined System (Pty) Ltd</w:t>
            </w:r>
          </w:p>
        </w:tc>
        <w:tc>
          <w:tcPr>
            <w:tcW w:w="2410" w:type="dxa"/>
          </w:tcPr>
          <w:p w:rsidR="00E27D92" w:rsidRPr="00B0166C" w:rsidRDefault="00E27D92" w:rsidP="00693376">
            <w:pPr>
              <w:jc w:val="both"/>
              <w:rPr>
                <w:rFonts w:ascii="Arial" w:hAnsi="Arial" w:cs="Arial"/>
              </w:rPr>
            </w:pPr>
            <w:r>
              <w:rPr>
                <w:rFonts w:ascii="Arial" w:hAnsi="Arial" w:cs="Arial"/>
              </w:rPr>
              <w:t xml:space="preserve">Approve without conditions </w:t>
            </w:r>
          </w:p>
        </w:tc>
        <w:tc>
          <w:tcPr>
            <w:tcW w:w="2267" w:type="dxa"/>
          </w:tcPr>
          <w:p w:rsidR="00E27D92" w:rsidRDefault="00E83B90" w:rsidP="00693376">
            <w:pPr>
              <w:jc w:val="both"/>
              <w:rPr>
                <w:rFonts w:ascii="Arial" w:hAnsi="Arial" w:cs="Arial"/>
              </w:rPr>
            </w:pPr>
            <w:r>
              <w:rPr>
                <w:rFonts w:ascii="Arial" w:hAnsi="Arial" w:cs="Arial"/>
              </w:rPr>
              <w:t xml:space="preserve">Decision delayed pending additional information </w:t>
            </w:r>
          </w:p>
        </w:tc>
      </w:tr>
      <w:tr w:rsidR="00E27D92" w:rsidRPr="00B0166C" w:rsidTr="00E27D92">
        <w:trPr>
          <w:trHeight w:val="70"/>
        </w:trPr>
        <w:tc>
          <w:tcPr>
            <w:tcW w:w="2262" w:type="dxa"/>
          </w:tcPr>
          <w:p w:rsidR="00E27D92" w:rsidRPr="00B0166C" w:rsidRDefault="00E27D92" w:rsidP="00693376">
            <w:pPr>
              <w:jc w:val="both"/>
              <w:rPr>
                <w:rFonts w:ascii="Arial" w:hAnsi="Arial" w:cs="Arial"/>
              </w:rPr>
            </w:pPr>
            <w:r>
              <w:rPr>
                <w:rFonts w:ascii="Arial" w:hAnsi="Arial" w:cs="Arial"/>
              </w:rPr>
              <w:t xml:space="preserve">Large merger </w:t>
            </w:r>
          </w:p>
        </w:tc>
        <w:tc>
          <w:tcPr>
            <w:tcW w:w="2411" w:type="dxa"/>
          </w:tcPr>
          <w:p w:rsidR="00E27D92" w:rsidRPr="00303C00" w:rsidRDefault="00E27D92" w:rsidP="00693376">
            <w:pPr>
              <w:jc w:val="both"/>
              <w:rPr>
                <w:rFonts w:ascii="Arial" w:hAnsi="Arial" w:cs="Arial"/>
              </w:rPr>
            </w:pPr>
            <w:r w:rsidRPr="00303C00">
              <w:rPr>
                <w:rFonts w:ascii="Arial" w:hAnsi="Arial" w:cs="Arial"/>
                <w:color w:val="000000"/>
              </w:rPr>
              <w:t xml:space="preserve">Sanlam Life Insurance Ltd And </w:t>
            </w:r>
            <w:proofErr w:type="spellStart"/>
            <w:r w:rsidRPr="00303C00">
              <w:rPr>
                <w:rFonts w:ascii="Arial" w:hAnsi="Arial" w:cs="Arial"/>
                <w:color w:val="000000"/>
              </w:rPr>
              <w:t>Brightrock</w:t>
            </w:r>
            <w:proofErr w:type="spellEnd"/>
            <w:r w:rsidRPr="00303C00">
              <w:rPr>
                <w:rFonts w:ascii="Arial" w:hAnsi="Arial" w:cs="Arial"/>
                <w:color w:val="000000"/>
              </w:rPr>
              <w:t xml:space="preserve"> Holdings (Pty) Ltd and </w:t>
            </w:r>
            <w:proofErr w:type="spellStart"/>
            <w:r w:rsidRPr="00303C00">
              <w:rPr>
                <w:rFonts w:ascii="Arial" w:hAnsi="Arial" w:cs="Arial"/>
                <w:color w:val="000000"/>
              </w:rPr>
              <w:t>Brightrock</w:t>
            </w:r>
            <w:proofErr w:type="spellEnd"/>
            <w:r w:rsidRPr="00303C00">
              <w:rPr>
                <w:rFonts w:ascii="Arial" w:hAnsi="Arial" w:cs="Arial"/>
                <w:color w:val="000000"/>
              </w:rPr>
              <w:t xml:space="preserve"> Life Ltd</w:t>
            </w:r>
          </w:p>
        </w:tc>
        <w:tc>
          <w:tcPr>
            <w:tcW w:w="2410" w:type="dxa"/>
          </w:tcPr>
          <w:p w:rsidR="00E27D92" w:rsidRPr="00B0166C" w:rsidRDefault="00E27D92" w:rsidP="00693376">
            <w:pPr>
              <w:rPr>
                <w:rFonts w:ascii="Arial" w:hAnsi="Arial" w:cs="Arial"/>
              </w:rPr>
            </w:pPr>
            <w:r>
              <w:rPr>
                <w:rFonts w:ascii="Arial" w:hAnsi="Arial" w:cs="Arial"/>
              </w:rPr>
              <w:t xml:space="preserve">Approve without conditions </w:t>
            </w:r>
          </w:p>
        </w:tc>
        <w:tc>
          <w:tcPr>
            <w:tcW w:w="2267" w:type="dxa"/>
          </w:tcPr>
          <w:p w:rsidR="00E27D92" w:rsidRDefault="00E27D92" w:rsidP="00693376">
            <w:pPr>
              <w:rPr>
                <w:rFonts w:ascii="Arial" w:hAnsi="Arial" w:cs="Arial"/>
              </w:rPr>
            </w:pPr>
            <w:r>
              <w:rPr>
                <w:rFonts w:ascii="Arial" w:hAnsi="Arial" w:cs="Arial"/>
              </w:rPr>
              <w:t xml:space="preserve">Approval without conditions </w:t>
            </w:r>
          </w:p>
        </w:tc>
      </w:tr>
    </w:tbl>
    <w:p w:rsidR="00B33B88" w:rsidRDefault="00B33B88" w:rsidP="00B33B88">
      <w:pPr>
        <w:autoSpaceDE w:val="0"/>
        <w:autoSpaceDN w:val="0"/>
        <w:spacing w:after="160" w:line="276" w:lineRule="auto"/>
        <w:contextualSpacing/>
        <w:jc w:val="both"/>
        <w:rPr>
          <w:rFonts w:ascii="Arial" w:eastAsia="Calibri" w:hAnsi="Arial" w:cs="Arial"/>
          <w:b/>
        </w:rPr>
      </w:pPr>
    </w:p>
    <w:p w:rsidR="0098431A" w:rsidRDefault="00A77F6B" w:rsidP="00BA5B84">
      <w:pPr>
        <w:autoSpaceDE w:val="0"/>
        <w:autoSpaceDN w:val="0"/>
        <w:spacing w:after="160" w:line="276" w:lineRule="auto"/>
        <w:ind w:left="397" w:right="397"/>
        <w:contextualSpacing/>
        <w:jc w:val="both"/>
        <w:rPr>
          <w:rFonts w:ascii="Arial" w:hAnsi="Arial" w:cs="Arial"/>
          <w:b/>
          <w:bCs/>
          <w:lang w:val="en-GB"/>
        </w:rPr>
      </w:pPr>
      <w:r>
        <w:rPr>
          <w:rFonts w:ascii="Arial" w:hAnsi="Arial" w:cs="Arial"/>
          <w:b/>
          <w:bCs/>
          <w:lang w:val="en-ZA"/>
        </w:rPr>
        <w:t xml:space="preserve">Decision delayed on merger of </w:t>
      </w:r>
      <w:r w:rsidR="0098431A">
        <w:rPr>
          <w:rFonts w:ascii="Arial" w:hAnsi="Arial" w:cs="Arial"/>
          <w:b/>
          <w:bCs/>
          <w:lang w:val="en-ZA"/>
        </w:rPr>
        <w:t xml:space="preserve">EOH </w:t>
      </w:r>
      <w:proofErr w:type="spellStart"/>
      <w:r w:rsidR="0098431A">
        <w:rPr>
          <w:rFonts w:ascii="Arial" w:hAnsi="Arial" w:cs="Arial"/>
          <w:b/>
          <w:bCs/>
          <w:lang w:val="en-ZA"/>
        </w:rPr>
        <w:t>Mthombo</w:t>
      </w:r>
      <w:proofErr w:type="spellEnd"/>
      <w:r>
        <w:rPr>
          <w:rFonts w:ascii="Arial" w:hAnsi="Arial" w:cs="Arial"/>
          <w:b/>
          <w:bCs/>
          <w:lang w:val="en-ZA"/>
        </w:rPr>
        <w:t xml:space="preserve"> and </w:t>
      </w:r>
      <w:r w:rsidR="0098431A">
        <w:rPr>
          <w:rFonts w:ascii="Arial" w:hAnsi="Arial" w:cs="Arial"/>
          <w:b/>
          <w:bCs/>
          <w:lang w:val="en-ZA"/>
        </w:rPr>
        <w:t>PricewaterhouseCoopers Combined System</w:t>
      </w:r>
    </w:p>
    <w:p w:rsidR="0098431A" w:rsidRDefault="0098431A" w:rsidP="00BA5B84">
      <w:pPr>
        <w:autoSpaceDE w:val="0"/>
        <w:autoSpaceDN w:val="0"/>
        <w:spacing w:line="276" w:lineRule="auto"/>
        <w:ind w:left="397" w:right="397"/>
        <w:jc w:val="both"/>
        <w:rPr>
          <w:rFonts w:ascii="Arial" w:hAnsi="Arial" w:cs="Arial"/>
          <w:b/>
          <w:bCs/>
          <w:lang w:val="en-GB"/>
        </w:rPr>
      </w:pPr>
    </w:p>
    <w:p w:rsidR="0098431A" w:rsidRDefault="00E83B90" w:rsidP="00BA5B84">
      <w:pPr>
        <w:autoSpaceDE w:val="0"/>
        <w:autoSpaceDN w:val="0"/>
        <w:spacing w:line="276" w:lineRule="auto"/>
        <w:ind w:left="397" w:right="397"/>
        <w:jc w:val="both"/>
        <w:rPr>
          <w:rFonts w:ascii="Arial" w:hAnsi="Arial" w:cs="Arial"/>
          <w:lang w:val="en-GB"/>
        </w:rPr>
      </w:pPr>
      <w:r>
        <w:rPr>
          <w:rFonts w:ascii="Arial" w:hAnsi="Arial" w:cs="Arial"/>
          <w:bCs/>
          <w:lang w:val="en-GB"/>
        </w:rPr>
        <w:t xml:space="preserve">A decision has been delayed by the Tribunal regarding the proposed </w:t>
      </w:r>
      <w:r w:rsidRPr="00E83B90">
        <w:rPr>
          <w:rFonts w:ascii="Arial" w:hAnsi="Arial" w:cs="Arial"/>
          <w:bCs/>
          <w:lang w:val="en-GB"/>
        </w:rPr>
        <w:t xml:space="preserve">merger of </w:t>
      </w:r>
      <w:r w:rsidR="0098431A">
        <w:rPr>
          <w:rFonts w:ascii="Arial" w:hAnsi="Arial" w:cs="Arial"/>
          <w:lang w:val="en-GB"/>
        </w:rPr>
        <w:t xml:space="preserve">EOH </w:t>
      </w:r>
      <w:proofErr w:type="spellStart"/>
      <w:r w:rsidR="0098431A">
        <w:rPr>
          <w:rFonts w:ascii="Arial" w:hAnsi="Arial" w:cs="Arial"/>
          <w:lang w:val="en-GB"/>
        </w:rPr>
        <w:t>Mthombo</w:t>
      </w:r>
      <w:proofErr w:type="spellEnd"/>
      <w:r w:rsidR="0098431A">
        <w:rPr>
          <w:rFonts w:ascii="Arial" w:hAnsi="Arial" w:cs="Arial"/>
          <w:lang w:val="en-GB"/>
        </w:rPr>
        <w:t xml:space="preserve"> Proprietary L</w:t>
      </w:r>
      <w:r>
        <w:rPr>
          <w:rFonts w:ascii="Arial" w:hAnsi="Arial" w:cs="Arial"/>
          <w:lang w:val="en-GB"/>
        </w:rPr>
        <w:t>td</w:t>
      </w:r>
      <w:r w:rsidR="0098431A">
        <w:rPr>
          <w:rFonts w:ascii="Arial" w:hAnsi="Arial" w:cs="Arial"/>
          <w:lang w:val="en-GB"/>
        </w:rPr>
        <w:t xml:space="preserve"> and PricewaterhouseCoopers Combined System (Pty) Ltd (‘Combined Systems’) </w:t>
      </w:r>
      <w:r>
        <w:rPr>
          <w:rFonts w:ascii="Arial" w:hAnsi="Arial" w:cs="Arial"/>
          <w:lang w:val="en-GB"/>
        </w:rPr>
        <w:t xml:space="preserve">pending the submission of additional information </w:t>
      </w:r>
      <w:r w:rsidR="00A77F6B">
        <w:rPr>
          <w:rFonts w:ascii="Arial" w:hAnsi="Arial" w:cs="Arial"/>
          <w:lang w:val="en-GB"/>
        </w:rPr>
        <w:t>by</w:t>
      </w:r>
      <w:r>
        <w:rPr>
          <w:rFonts w:ascii="Arial" w:hAnsi="Arial" w:cs="Arial"/>
          <w:lang w:val="en-GB"/>
        </w:rPr>
        <w:t xml:space="preserve"> both parties. </w:t>
      </w:r>
    </w:p>
    <w:p w:rsidR="00A77F6B" w:rsidRDefault="00A77F6B" w:rsidP="00BA5B84">
      <w:pPr>
        <w:autoSpaceDE w:val="0"/>
        <w:autoSpaceDN w:val="0"/>
        <w:spacing w:line="276" w:lineRule="auto"/>
        <w:ind w:left="397" w:right="397"/>
        <w:jc w:val="both"/>
        <w:rPr>
          <w:rFonts w:ascii="Arial" w:hAnsi="Arial" w:cs="Arial"/>
          <w:lang w:val="en-GB"/>
        </w:rPr>
      </w:pPr>
    </w:p>
    <w:p w:rsidR="00A77F6B" w:rsidRDefault="00A77F6B" w:rsidP="00BA5B84">
      <w:pPr>
        <w:ind w:left="397" w:right="397"/>
        <w:rPr>
          <w:rFonts w:ascii="Arial" w:hAnsi="Arial" w:cs="Arial"/>
        </w:rPr>
      </w:pPr>
      <w:r>
        <w:rPr>
          <w:rFonts w:ascii="Arial" w:hAnsi="Arial" w:cs="Arial"/>
        </w:rPr>
        <w:t xml:space="preserve">The market in which the two companies operate is the national market for the provision of fixed asset management services for both movable and immovable assets. </w:t>
      </w:r>
    </w:p>
    <w:p w:rsidR="00A77F6B" w:rsidRPr="00E83B90" w:rsidRDefault="00A77F6B" w:rsidP="00BA5B84">
      <w:pPr>
        <w:autoSpaceDE w:val="0"/>
        <w:autoSpaceDN w:val="0"/>
        <w:spacing w:line="276" w:lineRule="auto"/>
        <w:ind w:left="397" w:right="397"/>
        <w:jc w:val="both"/>
        <w:rPr>
          <w:rFonts w:ascii="Arial" w:hAnsi="Arial" w:cs="Arial"/>
          <w:bCs/>
          <w:lang w:val="en-GB"/>
        </w:rPr>
      </w:pPr>
    </w:p>
    <w:p w:rsidR="0098431A" w:rsidRDefault="0098431A" w:rsidP="00BA5B84">
      <w:pPr>
        <w:spacing w:line="276" w:lineRule="auto"/>
        <w:ind w:left="397" w:right="397"/>
        <w:jc w:val="both"/>
        <w:rPr>
          <w:rFonts w:ascii="Arial" w:hAnsi="Arial" w:cs="Arial"/>
          <w:lang w:val="en-GB"/>
        </w:rPr>
      </w:pPr>
      <w:r>
        <w:rPr>
          <w:rFonts w:ascii="Arial" w:hAnsi="Arial" w:cs="Arial"/>
          <w:lang w:val="en-GB"/>
        </w:rPr>
        <w:t xml:space="preserve">EOH </w:t>
      </w:r>
      <w:proofErr w:type="spellStart"/>
      <w:r>
        <w:rPr>
          <w:rFonts w:ascii="Arial" w:hAnsi="Arial" w:cs="Arial"/>
          <w:lang w:val="en-GB"/>
        </w:rPr>
        <w:t>Mthombo</w:t>
      </w:r>
      <w:proofErr w:type="spellEnd"/>
      <w:r>
        <w:rPr>
          <w:rFonts w:ascii="Arial" w:hAnsi="Arial" w:cs="Arial"/>
          <w:lang w:val="en-GB"/>
        </w:rPr>
        <w:t xml:space="preserve"> Proprietary Limited is controlled by listed company EOH Holdings Limited, EOH Holdings and its subsidiaries (the acquiring group) are involved in a wide range of IT services, software, IT infrastructure, industrial technologies and business process outsourcing solutions. The acquiring group provides services and products in consulting, technology such as software and infrastructure and outsourcing. </w:t>
      </w:r>
    </w:p>
    <w:p w:rsidR="0098431A" w:rsidRDefault="0098431A" w:rsidP="00BA5B84">
      <w:pPr>
        <w:spacing w:line="276" w:lineRule="auto"/>
        <w:ind w:left="397" w:right="397"/>
        <w:jc w:val="both"/>
        <w:rPr>
          <w:rFonts w:ascii="Arial" w:hAnsi="Arial" w:cs="Arial"/>
          <w:b/>
          <w:bCs/>
          <w:lang w:val="en-GB"/>
        </w:rPr>
      </w:pPr>
    </w:p>
    <w:p w:rsidR="0098431A" w:rsidRDefault="0098431A" w:rsidP="00BA5B84">
      <w:pPr>
        <w:spacing w:line="276" w:lineRule="auto"/>
        <w:ind w:left="397" w:right="397"/>
        <w:jc w:val="both"/>
        <w:rPr>
          <w:rFonts w:ascii="Arial" w:hAnsi="Arial" w:cs="Arial"/>
          <w:lang w:val="en-GB"/>
        </w:rPr>
      </w:pPr>
      <w:r>
        <w:rPr>
          <w:rFonts w:ascii="Arial" w:hAnsi="Arial" w:cs="Arial"/>
          <w:lang w:val="en-GB"/>
        </w:rPr>
        <w:t xml:space="preserve">PricewaterhouseCoopers Combined Systems is controlled by PricewaterhouseCoopers Incorporated. Combined Systems is also a fixed asset management and assets tracking business offering asset accounting and compliance and asset lifecycle management services to public and private sector customers. </w:t>
      </w:r>
    </w:p>
    <w:p w:rsidR="0098431A" w:rsidRDefault="0098431A" w:rsidP="00BA5B84">
      <w:pPr>
        <w:autoSpaceDE w:val="0"/>
        <w:autoSpaceDN w:val="0"/>
        <w:spacing w:line="276" w:lineRule="auto"/>
        <w:ind w:left="397" w:right="397"/>
        <w:jc w:val="both"/>
        <w:rPr>
          <w:rFonts w:ascii="Arial" w:hAnsi="Arial" w:cs="Arial"/>
          <w:b/>
          <w:bCs/>
          <w:lang w:val="en-GB"/>
        </w:rPr>
      </w:pPr>
    </w:p>
    <w:p w:rsidR="00A77F6B" w:rsidRDefault="0098431A" w:rsidP="00BA5B84">
      <w:pPr>
        <w:ind w:left="397" w:right="397"/>
        <w:rPr>
          <w:rFonts w:ascii="Arial" w:hAnsi="Arial" w:cs="Arial"/>
          <w:lang w:val="en-GB"/>
        </w:rPr>
      </w:pPr>
      <w:r>
        <w:rPr>
          <w:rFonts w:ascii="Arial" w:hAnsi="Arial" w:cs="Arial"/>
        </w:rPr>
        <w:t>The market in which the two companies operate is the national market for the provision of fixed asset management services for bot</w:t>
      </w:r>
      <w:r w:rsidR="00B959C1">
        <w:rPr>
          <w:rFonts w:ascii="Arial" w:hAnsi="Arial" w:cs="Arial"/>
        </w:rPr>
        <w:t xml:space="preserve">h movable and immovable assets </w:t>
      </w:r>
      <w:r w:rsidR="00A36E64">
        <w:rPr>
          <w:rFonts w:ascii="Arial" w:hAnsi="Arial" w:cs="Arial"/>
          <w:lang w:val="en-GB"/>
        </w:rPr>
        <w:t xml:space="preserve">and compliance and asset lifecycle management services to public and private sector customers. </w:t>
      </w:r>
    </w:p>
    <w:p w:rsidR="009F541C" w:rsidRDefault="009F541C" w:rsidP="00BA5B84">
      <w:pPr>
        <w:ind w:left="397" w:right="397"/>
        <w:rPr>
          <w:rFonts w:ascii="Arial" w:hAnsi="Arial" w:cs="Arial"/>
        </w:rPr>
      </w:pPr>
    </w:p>
    <w:p w:rsidR="00B33B88" w:rsidRPr="00A77F6B" w:rsidRDefault="00634F82" w:rsidP="00BA5B84">
      <w:pPr>
        <w:ind w:left="397" w:right="397"/>
        <w:rPr>
          <w:rFonts w:ascii="Arial" w:hAnsi="Arial" w:cs="Arial"/>
        </w:rPr>
      </w:pPr>
      <w:r>
        <w:rPr>
          <w:rFonts w:ascii="Arial" w:hAnsi="Arial" w:cs="Arial"/>
          <w:b/>
          <w:bCs/>
          <w:lang w:val="en-ZA"/>
        </w:rPr>
        <w:t xml:space="preserve">Sanlam Life Insurance </w:t>
      </w:r>
      <w:r w:rsidR="00A77F6B">
        <w:rPr>
          <w:rFonts w:ascii="Arial" w:hAnsi="Arial" w:cs="Arial"/>
          <w:b/>
          <w:bCs/>
          <w:lang w:val="en-ZA"/>
        </w:rPr>
        <w:t xml:space="preserve">to </w:t>
      </w:r>
      <w:r w:rsidR="00884296">
        <w:rPr>
          <w:rFonts w:ascii="Arial" w:hAnsi="Arial" w:cs="Arial"/>
          <w:b/>
          <w:bCs/>
          <w:lang w:val="en-ZA"/>
        </w:rPr>
        <w:t>acquire</w:t>
      </w:r>
      <w:r w:rsidR="00B33B88">
        <w:rPr>
          <w:rFonts w:ascii="Arial" w:hAnsi="Arial" w:cs="Arial"/>
          <w:b/>
          <w:bCs/>
          <w:lang w:val="en-ZA"/>
        </w:rPr>
        <w:t xml:space="preserve"> </w:t>
      </w:r>
      <w:proofErr w:type="spellStart"/>
      <w:r w:rsidR="00B33B88">
        <w:rPr>
          <w:rFonts w:ascii="Arial" w:hAnsi="Arial" w:cs="Arial"/>
          <w:b/>
          <w:bCs/>
          <w:lang w:val="en-ZA"/>
        </w:rPr>
        <w:t>BrightRock</w:t>
      </w:r>
      <w:proofErr w:type="spellEnd"/>
      <w:r w:rsidR="00B33B88">
        <w:rPr>
          <w:rFonts w:ascii="Arial" w:hAnsi="Arial" w:cs="Arial"/>
          <w:b/>
          <w:bCs/>
          <w:lang w:val="en-ZA"/>
        </w:rPr>
        <w:t xml:space="preserve"> Holdings</w:t>
      </w:r>
      <w:r w:rsidR="00884296">
        <w:rPr>
          <w:rFonts w:ascii="Arial" w:hAnsi="Arial" w:cs="Arial"/>
          <w:b/>
          <w:bCs/>
          <w:lang w:val="en-ZA"/>
        </w:rPr>
        <w:t xml:space="preserve"> and Lombard Life</w:t>
      </w:r>
    </w:p>
    <w:p w:rsidR="00B33B88" w:rsidRDefault="00B33B88" w:rsidP="00BA5B84">
      <w:pPr>
        <w:autoSpaceDE w:val="0"/>
        <w:autoSpaceDN w:val="0"/>
        <w:spacing w:line="276" w:lineRule="auto"/>
        <w:ind w:left="397" w:right="397"/>
        <w:jc w:val="both"/>
        <w:rPr>
          <w:rFonts w:ascii="Arial" w:hAnsi="Arial" w:cs="Arial"/>
          <w:b/>
          <w:bCs/>
          <w:lang w:val="en-GB"/>
        </w:rPr>
      </w:pPr>
    </w:p>
    <w:p w:rsidR="00916F50" w:rsidRDefault="00916F50" w:rsidP="00BA5B84">
      <w:pPr>
        <w:autoSpaceDE w:val="0"/>
        <w:autoSpaceDN w:val="0"/>
        <w:spacing w:line="276" w:lineRule="auto"/>
        <w:ind w:left="397" w:right="397"/>
        <w:jc w:val="both"/>
        <w:rPr>
          <w:rFonts w:ascii="Arial" w:hAnsi="Arial" w:cs="Arial"/>
          <w:lang w:val="en-GB"/>
        </w:rPr>
      </w:pPr>
      <w:r>
        <w:rPr>
          <w:rFonts w:ascii="Arial" w:hAnsi="Arial" w:cs="Arial"/>
        </w:rPr>
        <w:t xml:space="preserve">Sanlam Life Insurance Limited intends to acquire </w:t>
      </w:r>
      <w:proofErr w:type="spellStart"/>
      <w:r>
        <w:rPr>
          <w:rFonts w:ascii="Arial" w:hAnsi="Arial" w:cs="Arial"/>
          <w:lang w:val="en-GB"/>
        </w:rPr>
        <w:t>BrightRock</w:t>
      </w:r>
      <w:proofErr w:type="spellEnd"/>
      <w:r>
        <w:rPr>
          <w:rFonts w:ascii="Arial" w:hAnsi="Arial" w:cs="Arial"/>
          <w:lang w:val="en-GB"/>
        </w:rPr>
        <w:t xml:space="preserve"> Holdings (Pty) Ltd and Lombard Life in a merger. The Competition Commission has recommended that it be approved without conditions. </w:t>
      </w:r>
    </w:p>
    <w:p w:rsidR="00A77F6B" w:rsidRDefault="00A77F6B" w:rsidP="00BA5B84">
      <w:pPr>
        <w:autoSpaceDE w:val="0"/>
        <w:autoSpaceDN w:val="0"/>
        <w:spacing w:line="276" w:lineRule="auto"/>
        <w:ind w:left="397" w:right="397"/>
        <w:jc w:val="both"/>
        <w:rPr>
          <w:rFonts w:ascii="Arial" w:hAnsi="Arial" w:cs="Arial"/>
          <w:lang w:val="en-GB"/>
        </w:rPr>
      </w:pPr>
    </w:p>
    <w:p w:rsidR="00A77F6B" w:rsidRPr="00215DCC" w:rsidRDefault="00A77F6B" w:rsidP="00BA5B84">
      <w:pPr>
        <w:autoSpaceDE w:val="0"/>
        <w:autoSpaceDN w:val="0"/>
        <w:spacing w:line="276" w:lineRule="auto"/>
        <w:ind w:left="397" w:right="397"/>
        <w:jc w:val="both"/>
        <w:rPr>
          <w:rFonts w:ascii="Arial" w:hAnsi="Arial" w:cs="Arial"/>
          <w:lang w:val="en-GB"/>
        </w:rPr>
      </w:pPr>
      <w:r w:rsidRPr="00215DCC">
        <w:rPr>
          <w:rFonts w:ascii="Arial" w:hAnsi="Arial" w:cs="Arial"/>
          <w:lang w:val="en-GB"/>
        </w:rPr>
        <w:t>The markets</w:t>
      </w:r>
      <w:r>
        <w:rPr>
          <w:rFonts w:ascii="Arial" w:hAnsi="Arial" w:cs="Arial"/>
          <w:lang w:val="en-GB"/>
        </w:rPr>
        <w:t xml:space="preserve"> in which the companies operate </w:t>
      </w:r>
      <w:r w:rsidRPr="00215DCC">
        <w:rPr>
          <w:rFonts w:ascii="Arial" w:hAnsi="Arial" w:cs="Arial"/>
          <w:lang w:val="en-GB"/>
        </w:rPr>
        <w:t>are</w:t>
      </w:r>
      <w:r>
        <w:rPr>
          <w:rFonts w:ascii="Arial" w:hAnsi="Arial" w:cs="Arial"/>
          <w:lang w:val="en-GB"/>
        </w:rPr>
        <w:t>:</w:t>
      </w:r>
      <w:r w:rsidRPr="00215DCC">
        <w:rPr>
          <w:rFonts w:ascii="Arial" w:hAnsi="Arial" w:cs="Arial"/>
          <w:lang w:val="en-GB"/>
        </w:rPr>
        <w:t xml:space="preserve"> the national market for the </w:t>
      </w:r>
      <w:r w:rsidRPr="00215DCC">
        <w:rPr>
          <w:rFonts w:ascii="Arial" w:hAnsi="Arial" w:cs="Arial"/>
          <w:lang w:val="en-ZA"/>
        </w:rPr>
        <w:t>provision of long-term individual assistance policies; provision of long-term individual disabil</w:t>
      </w:r>
      <w:r>
        <w:rPr>
          <w:rFonts w:ascii="Arial" w:hAnsi="Arial" w:cs="Arial"/>
          <w:lang w:val="en-ZA"/>
        </w:rPr>
        <w:t xml:space="preserve">ity policies and the </w:t>
      </w:r>
      <w:r w:rsidRPr="00215DCC">
        <w:rPr>
          <w:rFonts w:ascii="Arial" w:hAnsi="Arial" w:cs="Arial"/>
          <w:lang w:val="en-ZA"/>
        </w:rPr>
        <w:t>provision of long-term individual life policies.</w:t>
      </w:r>
    </w:p>
    <w:p w:rsidR="00A77F6B" w:rsidRDefault="00A77F6B" w:rsidP="00BA5B84">
      <w:pPr>
        <w:autoSpaceDE w:val="0"/>
        <w:autoSpaceDN w:val="0"/>
        <w:spacing w:line="276" w:lineRule="auto"/>
        <w:ind w:left="397" w:right="397"/>
        <w:jc w:val="both"/>
        <w:rPr>
          <w:rFonts w:ascii="Arial" w:hAnsi="Arial" w:cs="Arial"/>
          <w:lang w:val="en-GB"/>
        </w:rPr>
      </w:pPr>
    </w:p>
    <w:p w:rsidR="00916F50" w:rsidRDefault="00916F50" w:rsidP="00BA5B84">
      <w:pPr>
        <w:autoSpaceDE w:val="0"/>
        <w:autoSpaceDN w:val="0"/>
        <w:spacing w:line="276" w:lineRule="auto"/>
        <w:ind w:left="397" w:right="397"/>
        <w:jc w:val="both"/>
        <w:rPr>
          <w:rFonts w:ascii="Arial" w:hAnsi="Arial" w:cs="Arial"/>
          <w:lang w:val="en-GB"/>
        </w:rPr>
      </w:pPr>
      <w:r>
        <w:rPr>
          <w:rFonts w:ascii="Arial" w:hAnsi="Arial" w:cs="Arial"/>
        </w:rPr>
        <w:t>Sanlam Life is whol</w:t>
      </w:r>
      <w:r w:rsidR="0098431A">
        <w:rPr>
          <w:rFonts w:ascii="Arial" w:hAnsi="Arial" w:cs="Arial"/>
        </w:rPr>
        <w:t xml:space="preserve">ly-controlled by Sanlam Ltd. </w:t>
      </w:r>
      <w:r>
        <w:rPr>
          <w:rFonts w:ascii="Arial" w:hAnsi="Arial" w:cs="Arial"/>
        </w:rPr>
        <w:t>Sanlam</w:t>
      </w:r>
      <w:r w:rsidR="0098431A">
        <w:rPr>
          <w:rFonts w:ascii="Arial" w:hAnsi="Arial" w:cs="Arial"/>
        </w:rPr>
        <w:t xml:space="preserve"> Ltd</w:t>
      </w:r>
      <w:r>
        <w:rPr>
          <w:rFonts w:ascii="Arial" w:hAnsi="Arial" w:cs="Arial"/>
        </w:rPr>
        <w:t xml:space="preserve"> is a public company listed on the JSE and Namibian Stock Exchange and is not controlled by any firm. </w:t>
      </w:r>
      <w:r>
        <w:rPr>
          <w:rFonts w:ascii="Arial" w:hAnsi="Arial" w:cs="Arial"/>
          <w:lang w:val="en-GB"/>
        </w:rPr>
        <w:t>Sanlam and its subsidiaries provide insurance products in South Africa and in a number of other countries across Africa and beyond. Relevant for the proposed transaction are Sanlam’s activities in the provision of long-term life insurance.</w:t>
      </w:r>
    </w:p>
    <w:p w:rsidR="00916F50" w:rsidRDefault="00916F50" w:rsidP="00BA5B84">
      <w:pPr>
        <w:autoSpaceDE w:val="0"/>
        <w:autoSpaceDN w:val="0"/>
        <w:spacing w:line="276" w:lineRule="auto"/>
        <w:ind w:left="397" w:right="397"/>
        <w:contextualSpacing/>
        <w:jc w:val="both"/>
        <w:rPr>
          <w:rFonts w:ascii="Arial" w:hAnsi="Arial" w:cs="Arial"/>
          <w:lang w:val="en-ZA"/>
        </w:rPr>
      </w:pPr>
    </w:p>
    <w:p w:rsidR="00916F50" w:rsidRDefault="00916F50" w:rsidP="00BA5B84">
      <w:pPr>
        <w:autoSpaceDE w:val="0"/>
        <w:autoSpaceDN w:val="0"/>
        <w:spacing w:line="276" w:lineRule="auto"/>
        <w:ind w:left="397" w:right="397"/>
        <w:jc w:val="both"/>
        <w:rPr>
          <w:rFonts w:ascii="Arial" w:hAnsi="Arial" w:cs="Arial"/>
          <w:lang w:val="en-GB"/>
        </w:rPr>
      </w:pPr>
      <w:proofErr w:type="spellStart"/>
      <w:r>
        <w:rPr>
          <w:rFonts w:ascii="Arial" w:hAnsi="Arial" w:cs="Arial"/>
          <w:lang w:val="en-GB"/>
        </w:rPr>
        <w:t>BrightRoc</w:t>
      </w:r>
      <w:r w:rsidR="0098431A">
        <w:rPr>
          <w:rFonts w:ascii="Arial" w:hAnsi="Arial" w:cs="Arial"/>
          <w:lang w:val="en-GB"/>
        </w:rPr>
        <w:t>k</w:t>
      </w:r>
      <w:proofErr w:type="spellEnd"/>
      <w:r w:rsidR="0098431A">
        <w:rPr>
          <w:rFonts w:ascii="Arial" w:hAnsi="Arial" w:cs="Arial"/>
          <w:lang w:val="en-GB"/>
        </w:rPr>
        <w:t xml:space="preserve"> Holdings controls </w:t>
      </w:r>
      <w:proofErr w:type="spellStart"/>
      <w:r w:rsidR="0098431A">
        <w:rPr>
          <w:rFonts w:ascii="Arial" w:hAnsi="Arial" w:cs="Arial"/>
          <w:lang w:val="en-GB"/>
        </w:rPr>
        <w:t>BrightRock</w:t>
      </w:r>
      <w:proofErr w:type="spellEnd"/>
      <w:r w:rsidR="0098431A">
        <w:rPr>
          <w:rFonts w:ascii="Arial" w:hAnsi="Arial" w:cs="Arial"/>
          <w:lang w:val="en-GB"/>
        </w:rPr>
        <w:t>.</w:t>
      </w:r>
      <w:r w:rsidR="00E83B90">
        <w:rPr>
          <w:rFonts w:ascii="Arial" w:hAnsi="Arial" w:cs="Arial"/>
          <w:lang w:val="en-GB"/>
        </w:rPr>
        <w:t xml:space="preserve"> </w:t>
      </w:r>
      <w:proofErr w:type="spellStart"/>
      <w:r>
        <w:rPr>
          <w:rFonts w:ascii="Arial" w:hAnsi="Arial" w:cs="Arial"/>
          <w:lang w:val="en-GB"/>
        </w:rPr>
        <w:t>BrightRock</w:t>
      </w:r>
      <w:proofErr w:type="spellEnd"/>
      <w:r>
        <w:rPr>
          <w:rFonts w:ascii="Arial" w:hAnsi="Arial" w:cs="Arial"/>
          <w:lang w:val="en-GB"/>
        </w:rPr>
        <w:t xml:space="preserve"> is an exclusive insurance underwriting manager for Lombard Life as it performs services on behalf of Lombard Life, which determining and collecting premiums, designing new products, settling claims and determining the value of policy benefits. </w:t>
      </w:r>
    </w:p>
    <w:p w:rsidR="00916F50" w:rsidRDefault="00916F50" w:rsidP="00BA5B84">
      <w:pPr>
        <w:autoSpaceDE w:val="0"/>
        <w:autoSpaceDN w:val="0"/>
        <w:spacing w:line="276" w:lineRule="auto"/>
        <w:ind w:left="397" w:right="397"/>
        <w:jc w:val="both"/>
        <w:rPr>
          <w:rFonts w:ascii="Arial" w:hAnsi="Arial" w:cs="Arial"/>
          <w:lang w:val="en-GB"/>
        </w:rPr>
      </w:pPr>
    </w:p>
    <w:p w:rsidR="00916F50" w:rsidRDefault="00916F50" w:rsidP="00BA5B84">
      <w:pPr>
        <w:autoSpaceDE w:val="0"/>
        <w:autoSpaceDN w:val="0"/>
        <w:spacing w:line="276" w:lineRule="auto"/>
        <w:ind w:left="397" w:right="397"/>
        <w:jc w:val="both"/>
        <w:rPr>
          <w:rFonts w:ascii="Arial" w:hAnsi="Arial" w:cs="Arial"/>
          <w:lang w:val="en-GB"/>
        </w:rPr>
      </w:pPr>
      <w:r>
        <w:rPr>
          <w:rFonts w:ascii="Arial" w:hAnsi="Arial" w:cs="Arial"/>
          <w:lang w:val="en-GB"/>
        </w:rPr>
        <w:t>Lombard Life is a licensed long-term insurer, which underwrites long-term life insurance risks such as those associated with death, disability and loss of employment. These products are offered in South Africa.</w:t>
      </w:r>
    </w:p>
    <w:p w:rsidR="00916F50" w:rsidRDefault="00916F50" w:rsidP="00BA5B84">
      <w:pPr>
        <w:autoSpaceDE w:val="0"/>
        <w:autoSpaceDN w:val="0"/>
        <w:spacing w:line="276" w:lineRule="auto"/>
        <w:ind w:left="397" w:right="397"/>
        <w:jc w:val="both"/>
        <w:rPr>
          <w:rFonts w:ascii="Arial" w:hAnsi="Arial" w:cs="Arial"/>
          <w:lang w:val="en-GB"/>
        </w:rPr>
      </w:pPr>
    </w:p>
    <w:p w:rsidR="00B33B88" w:rsidRDefault="00B33B88" w:rsidP="00BA5B84">
      <w:pPr>
        <w:ind w:left="397" w:right="397"/>
        <w:jc w:val="both"/>
        <w:rPr>
          <w:rFonts w:ascii="Arial" w:hAnsi="Arial" w:cs="Arial"/>
        </w:rPr>
      </w:pPr>
    </w:p>
    <w:p w:rsidR="00B33B88" w:rsidRPr="00B0166C" w:rsidRDefault="00B33B88" w:rsidP="00BA5B84">
      <w:pPr>
        <w:ind w:left="397" w:right="397"/>
        <w:jc w:val="both"/>
        <w:rPr>
          <w:rFonts w:ascii="Arial" w:hAnsi="Arial" w:cs="Arial"/>
          <w:lang w:eastAsia="en-ZA"/>
        </w:rPr>
      </w:pPr>
      <w:r w:rsidRPr="00B0166C">
        <w:rPr>
          <w:rFonts w:ascii="Arial" w:hAnsi="Arial" w:cs="Arial"/>
          <w:color w:val="000000"/>
          <w:lang w:eastAsia="en-ZA"/>
        </w:rPr>
        <w:t xml:space="preserve">Issued by: </w:t>
      </w:r>
    </w:p>
    <w:p w:rsidR="00B33B88" w:rsidRPr="00B0166C" w:rsidRDefault="00B33B88" w:rsidP="00BA5B84">
      <w:pPr>
        <w:ind w:left="397" w:right="397"/>
        <w:jc w:val="both"/>
        <w:rPr>
          <w:rFonts w:ascii="Arial" w:hAnsi="Arial" w:cs="Arial"/>
          <w:color w:val="000000"/>
          <w:lang w:eastAsia="en-ZA"/>
        </w:rPr>
      </w:pPr>
      <w:r w:rsidRPr="00B0166C">
        <w:rPr>
          <w:rFonts w:ascii="Arial" w:hAnsi="Arial" w:cs="Arial"/>
          <w:color w:val="000000"/>
          <w:lang w:eastAsia="en-ZA"/>
        </w:rPr>
        <w:t xml:space="preserve">Chantelle Benjamin </w:t>
      </w:r>
    </w:p>
    <w:p w:rsidR="00B33B88" w:rsidRPr="00B0166C" w:rsidRDefault="00B33B88" w:rsidP="00BA5B84">
      <w:pPr>
        <w:ind w:left="397" w:right="397"/>
        <w:jc w:val="both"/>
        <w:rPr>
          <w:rFonts w:ascii="Arial" w:hAnsi="Arial" w:cs="Arial"/>
          <w:color w:val="000000"/>
          <w:lang w:eastAsia="en-ZA"/>
        </w:rPr>
      </w:pPr>
      <w:r w:rsidRPr="00B0166C">
        <w:rPr>
          <w:rFonts w:ascii="Arial" w:hAnsi="Arial" w:cs="Arial"/>
          <w:color w:val="000000"/>
          <w:lang w:eastAsia="en-ZA"/>
        </w:rPr>
        <w:t>Communications: Competition Tribunal   </w:t>
      </w:r>
    </w:p>
    <w:p w:rsidR="00B33B88" w:rsidRPr="00B0166C" w:rsidRDefault="00B33B88" w:rsidP="00BA5B84">
      <w:pPr>
        <w:ind w:left="397" w:right="397"/>
        <w:jc w:val="both"/>
        <w:rPr>
          <w:rFonts w:ascii="Arial" w:hAnsi="Arial" w:cs="Arial"/>
          <w:color w:val="000000"/>
          <w:lang w:eastAsia="en-ZA"/>
        </w:rPr>
      </w:pPr>
      <w:r w:rsidRPr="00B0166C">
        <w:rPr>
          <w:rFonts w:ascii="Arial" w:hAnsi="Arial" w:cs="Arial"/>
          <w:color w:val="000000"/>
          <w:lang w:eastAsia="en-ZA"/>
        </w:rPr>
        <w:t xml:space="preserve">Tel (012)394 1383                                      </w:t>
      </w:r>
    </w:p>
    <w:p w:rsidR="00B33B88" w:rsidRPr="00B0166C" w:rsidRDefault="00B33B88" w:rsidP="00BA5B84">
      <w:pPr>
        <w:ind w:left="397" w:right="397"/>
        <w:jc w:val="both"/>
        <w:rPr>
          <w:rFonts w:ascii="Arial" w:hAnsi="Arial" w:cs="Arial"/>
          <w:color w:val="000000"/>
          <w:lang w:eastAsia="en-ZA"/>
        </w:rPr>
      </w:pPr>
      <w:r w:rsidRPr="00B0166C">
        <w:rPr>
          <w:rFonts w:ascii="Arial" w:hAnsi="Arial" w:cs="Arial"/>
          <w:color w:val="000000"/>
          <w:lang w:eastAsia="en-ZA"/>
        </w:rPr>
        <w:t>Cell: +27 (0) 73 007 5603  </w:t>
      </w:r>
    </w:p>
    <w:p w:rsidR="00B33B88" w:rsidRPr="00B0166C" w:rsidRDefault="00B33B88" w:rsidP="00BA5B84">
      <w:pPr>
        <w:ind w:left="397" w:right="397"/>
        <w:jc w:val="both"/>
        <w:rPr>
          <w:rFonts w:ascii="Arial" w:hAnsi="Arial" w:cs="Arial"/>
          <w:lang w:eastAsia="en-ZA"/>
        </w:rPr>
      </w:pPr>
      <w:r w:rsidRPr="00B0166C">
        <w:rPr>
          <w:rFonts w:ascii="Arial" w:hAnsi="Arial" w:cs="Arial"/>
          <w:color w:val="000000"/>
          <w:lang w:eastAsia="en-ZA"/>
        </w:rPr>
        <w:t xml:space="preserve">Twitter: @comptrib                                        </w:t>
      </w:r>
    </w:p>
    <w:p w:rsidR="00B33B88" w:rsidRPr="00B0166C" w:rsidRDefault="00B33B88" w:rsidP="00BA5B84">
      <w:pPr>
        <w:ind w:left="397" w:right="397"/>
        <w:jc w:val="both"/>
        <w:rPr>
          <w:rFonts w:ascii="Arial" w:hAnsi="Arial" w:cs="Arial"/>
        </w:rPr>
      </w:pPr>
      <w:r w:rsidRPr="00B0166C">
        <w:rPr>
          <w:rFonts w:ascii="Arial" w:hAnsi="Arial" w:cs="Arial"/>
          <w:color w:val="000000"/>
          <w:lang w:eastAsia="en-ZA"/>
        </w:rPr>
        <w:t xml:space="preserve">E-Mail: </w:t>
      </w:r>
      <w:hyperlink r:id="rId6" w:history="1">
        <w:r w:rsidRPr="00B0166C">
          <w:rPr>
            <w:rStyle w:val="Hyperlink"/>
            <w:rFonts w:ascii="Arial" w:hAnsi="Arial" w:cs="Arial"/>
            <w:lang w:eastAsia="en-ZA"/>
          </w:rPr>
          <w:t>chantelleb@comptrib.co.za</w:t>
        </w:r>
      </w:hyperlink>
      <w:r w:rsidRPr="00B0166C">
        <w:rPr>
          <w:rFonts w:ascii="Arial" w:hAnsi="Arial" w:cs="Arial"/>
        </w:rPr>
        <w:t xml:space="preserve"> </w:t>
      </w:r>
    </w:p>
    <w:p w:rsidR="00B33B88" w:rsidRPr="00B0166C" w:rsidRDefault="00B33B88" w:rsidP="00BA5B84">
      <w:pPr>
        <w:ind w:left="397" w:right="397"/>
        <w:jc w:val="both"/>
        <w:rPr>
          <w:rFonts w:ascii="Arial" w:hAnsi="Arial" w:cs="Arial"/>
          <w:color w:val="000000"/>
        </w:rPr>
      </w:pPr>
    </w:p>
    <w:p w:rsidR="00B33B88" w:rsidRPr="00B0166C" w:rsidRDefault="00B33B88" w:rsidP="00BA5B84">
      <w:pPr>
        <w:ind w:left="397" w:right="397"/>
        <w:jc w:val="both"/>
        <w:rPr>
          <w:rFonts w:ascii="Arial" w:hAnsi="Arial" w:cs="Arial"/>
          <w:color w:val="000000"/>
        </w:rPr>
      </w:pPr>
    </w:p>
    <w:p w:rsidR="00B33B88" w:rsidRPr="00B0166C" w:rsidRDefault="00B33B88" w:rsidP="00BA5B84">
      <w:pPr>
        <w:ind w:left="397" w:right="397"/>
        <w:jc w:val="both"/>
        <w:rPr>
          <w:rFonts w:ascii="Arial" w:hAnsi="Arial" w:cs="Arial"/>
          <w:lang w:eastAsia="en-ZA"/>
        </w:rPr>
      </w:pPr>
      <w:r w:rsidRPr="00B0166C">
        <w:rPr>
          <w:rFonts w:ascii="Arial" w:hAnsi="Arial" w:cs="Arial"/>
          <w:color w:val="000000"/>
          <w:lang w:eastAsia="en-ZA"/>
        </w:rPr>
        <w:t>On Behalf Of:</w:t>
      </w:r>
    </w:p>
    <w:p w:rsidR="00B33B88" w:rsidRPr="00B0166C" w:rsidRDefault="00B33B88" w:rsidP="00BA5B84">
      <w:pPr>
        <w:ind w:left="397" w:right="397"/>
        <w:jc w:val="both"/>
        <w:rPr>
          <w:rFonts w:ascii="Arial" w:hAnsi="Arial" w:cs="Arial"/>
          <w:lang w:eastAsia="en-ZA"/>
        </w:rPr>
      </w:pPr>
      <w:r w:rsidRPr="00B0166C">
        <w:rPr>
          <w:rFonts w:ascii="Arial" w:hAnsi="Arial" w:cs="Arial"/>
          <w:color w:val="000000"/>
          <w:lang w:eastAsia="en-ZA"/>
        </w:rPr>
        <w:t>Lerato Motaung                                                   </w:t>
      </w:r>
    </w:p>
    <w:p w:rsidR="00B33B88" w:rsidRPr="00B0166C" w:rsidRDefault="00B33B88" w:rsidP="00BA5B84">
      <w:pPr>
        <w:ind w:left="397" w:right="397"/>
        <w:jc w:val="both"/>
        <w:rPr>
          <w:rFonts w:ascii="Arial" w:hAnsi="Arial" w:cs="Arial"/>
          <w:lang w:eastAsia="en-ZA"/>
        </w:rPr>
      </w:pPr>
      <w:r w:rsidRPr="00B0166C">
        <w:rPr>
          <w:rFonts w:ascii="Arial" w:hAnsi="Arial" w:cs="Arial"/>
          <w:color w:val="000000"/>
          <w:lang w:eastAsia="en-ZA"/>
        </w:rPr>
        <w:t xml:space="preserve">Registrar: Competition Tribunal                                         </w:t>
      </w:r>
    </w:p>
    <w:p w:rsidR="00B33B88" w:rsidRPr="00B0166C" w:rsidRDefault="00B33B88" w:rsidP="00BA5B84">
      <w:pPr>
        <w:ind w:left="397" w:right="397"/>
        <w:jc w:val="both"/>
        <w:rPr>
          <w:rFonts w:ascii="Arial" w:hAnsi="Arial" w:cs="Arial"/>
          <w:lang w:eastAsia="en-ZA"/>
        </w:rPr>
      </w:pPr>
      <w:r w:rsidRPr="00B0166C">
        <w:rPr>
          <w:rFonts w:ascii="Arial" w:hAnsi="Arial" w:cs="Arial"/>
          <w:color w:val="000000"/>
          <w:lang w:eastAsia="en-ZA"/>
        </w:rPr>
        <w:t xml:space="preserve">Tel: (012) 394 3355                                              </w:t>
      </w:r>
    </w:p>
    <w:p w:rsidR="00B33B88" w:rsidRPr="00B0166C" w:rsidRDefault="00B33B88" w:rsidP="00BA5B84">
      <w:pPr>
        <w:ind w:left="397" w:right="397"/>
        <w:jc w:val="both"/>
        <w:rPr>
          <w:rFonts w:ascii="Arial" w:hAnsi="Arial" w:cs="Arial"/>
          <w:lang w:eastAsia="en-ZA"/>
        </w:rPr>
      </w:pPr>
      <w:r w:rsidRPr="00B0166C">
        <w:rPr>
          <w:rFonts w:ascii="Arial" w:hAnsi="Arial" w:cs="Arial"/>
          <w:color w:val="000000"/>
          <w:lang w:eastAsia="en-ZA"/>
        </w:rPr>
        <w:t xml:space="preserve">Cell: +27 (0) 82 556 3221                                               </w:t>
      </w:r>
    </w:p>
    <w:p w:rsidR="00B33B88" w:rsidRPr="00B0166C" w:rsidRDefault="00B33B88" w:rsidP="00BA5B84">
      <w:pPr>
        <w:ind w:left="397" w:right="397"/>
        <w:jc w:val="both"/>
        <w:rPr>
          <w:rFonts w:ascii="Arial" w:hAnsi="Arial" w:cs="Arial"/>
        </w:rPr>
      </w:pPr>
      <w:r w:rsidRPr="00B0166C">
        <w:rPr>
          <w:rFonts w:ascii="Arial" w:hAnsi="Arial" w:cs="Arial"/>
          <w:color w:val="000000"/>
          <w:lang w:eastAsia="en-ZA"/>
        </w:rPr>
        <w:t xml:space="preserve">E-Mail: </w:t>
      </w:r>
      <w:hyperlink r:id="rId7" w:history="1">
        <w:r w:rsidRPr="00B0166C">
          <w:rPr>
            <w:rStyle w:val="Hyperlink"/>
            <w:rFonts w:ascii="Arial" w:hAnsi="Arial" w:cs="Arial"/>
            <w:lang w:eastAsia="en-ZA"/>
          </w:rPr>
          <w:t>LeratoM@comptrib.co.za</w:t>
        </w:r>
      </w:hyperlink>
    </w:p>
    <w:p w:rsidR="003E6D12" w:rsidRDefault="00134F9D"/>
    <w:p w:rsidR="00B33B88" w:rsidRDefault="00B33B88"/>
    <w:p w:rsidR="00B33B88" w:rsidRDefault="00B33B88"/>
    <w:p w:rsidR="00B33B88" w:rsidRDefault="00B33B88"/>
    <w:p w:rsidR="00B33B88" w:rsidRDefault="00B33B88"/>
    <w:sectPr w:rsidR="00B33B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C3F77"/>
    <w:multiLevelType w:val="hybridMultilevel"/>
    <w:tmpl w:val="E4066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C6E4FBB"/>
    <w:multiLevelType w:val="multilevel"/>
    <w:tmpl w:val="D206F0E6"/>
    <w:lvl w:ilvl="0">
      <w:start w:val="1"/>
      <w:numFmt w:val="decimal"/>
      <w:lvlText w:val="%1."/>
      <w:lvlJc w:val="left"/>
      <w:pPr>
        <w:ind w:left="1080" w:hanging="360"/>
      </w:pPr>
      <w:rPr>
        <w:u w:val="single"/>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511C743A"/>
    <w:multiLevelType w:val="hybridMultilevel"/>
    <w:tmpl w:val="693A4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88"/>
    <w:rsid w:val="00215DCC"/>
    <w:rsid w:val="002A5A09"/>
    <w:rsid w:val="00303C00"/>
    <w:rsid w:val="003C28B7"/>
    <w:rsid w:val="004755EC"/>
    <w:rsid w:val="005818BB"/>
    <w:rsid w:val="00634F82"/>
    <w:rsid w:val="00884296"/>
    <w:rsid w:val="00916F50"/>
    <w:rsid w:val="0098431A"/>
    <w:rsid w:val="009F541C"/>
    <w:rsid w:val="00A36E64"/>
    <w:rsid w:val="00A77F6B"/>
    <w:rsid w:val="00B33B88"/>
    <w:rsid w:val="00B959C1"/>
    <w:rsid w:val="00BA5B84"/>
    <w:rsid w:val="00E27D92"/>
    <w:rsid w:val="00E8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5EB49-F84F-4BB2-B983-29C5D009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B8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B88"/>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B88"/>
    <w:rPr>
      <w:color w:val="0000FF"/>
      <w:u w:val="single"/>
    </w:rPr>
  </w:style>
  <w:style w:type="paragraph" w:styleId="ListParagraph">
    <w:name w:val="List Paragraph"/>
    <w:basedOn w:val="Normal"/>
    <w:uiPriority w:val="34"/>
    <w:qFormat/>
    <w:rsid w:val="00215DCC"/>
    <w:pPr>
      <w:spacing w:after="200" w:line="276" w:lineRule="auto"/>
      <w:ind w:left="720"/>
      <w:contextualSpacing/>
    </w:pPr>
    <w:rPr>
      <w:rFonts w:asciiTheme="minorHAnsi" w:hAnsiTheme="minorHAnsi" w:cstheme="minorBid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37478">
      <w:bodyDiv w:val="1"/>
      <w:marLeft w:val="0"/>
      <w:marRight w:val="0"/>
      <w:marTop w:val="0"/>
      <w:marBottom w:val="0"/>
      <w:divBdr>
        <w:top w:val="none" w:sz="0" w:space="0" w:color="auto"/>
        <w:left w:val="none" w:sz="0" w:space="0" w:color="auto"/>
        <w:bottom w:val="none" w:sz="0" w:space="0" w:color="auto"/>
        <w:right w:val="none" w:sz="0" w:space="0" w:color="auto"/>
      </w:divBdr>
    </w:div>
    <w:div w:id="18196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5</cp:revision>
  <dcterms:created xsi:type="dcterms:W3CDTF">2017-04-12T13:09:00Z</dcterms:created>
  <dcterms:modified xsi:type="dcterms:W3CDTF">2017-04-12T14:53:00Z</dcterms:modified>
</cp:coreProperties>
</file>