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AC1" w:rsidRPr="00B0166C" w:rsidRDefault="00323AC1" w:rsidP="00D62E93">
      <w:pPr>
        <w:spacing w:after="0" w:line="240" w:lineRule="auto"/>
        <w:ind w:left="397" w:right="397"/>
        <w:jc w:val="center"/>
        <w:rPr>
          <w:rFonts w:ascii="Arial" w:hAnsi="Arial" w:cs="Arial"/>
          <w:b/>
        </w:rPr>
      </w:pPr>
      <w:r w:rsidRPr="00B0166C">
        <w:rPr>
          <w:rFonts w:ascii="Arial" w:hAnsi="Arial" w:cs="Arial"/>
          <w:b/>
          <w:noProof/>
          <w:lang w:val="en-US"/>
        </w:rPr>
        <w:drawing>
          <wp:inline distT="0" distB="0" distL="0" distR="0" wp14:anchorId="356216D3" wp14:editId="0F126EDA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AC1" w:rsidRPr="00B0166C" w:rsidRDefault="00323AC1" w:rsidP="00D62E93">
      <w:pPr>
        <w:spacing w:after="0" w:line="240" w:lineRule="auto"/>
        <w:ind w:left="397" w:right="397"/>
        <w:jc w:val="center"/>
        <w:rPr>
          <w:rFonts w:ascii="Arial" w:hAnsi="Arial" w:cs="Arial"/>
          <w:b/>
        </w:rPr>
      </w:pPr>
    </w:p>
    <w:p w:rsidR="00323AC1" w:rsidRPr="00B0166C" w:rsidRDefault="00323AC1" w:rsidP="00D62E93">
      <w:pPr>
        <w:spacing w:after="0" w:line="240" w:lineRule="auto"/>
        <w:ind w:left="397" w:right="397"/>
        <w:jc w:val="center"/>
        <w:rPr>
          <w:rFonts w:ascii="Arial" w:hAnsi="Arial" w:cs="Arial"/>
          <w:b/>
        </w:rPr>
      </w:pPr>
    </w:p>
    <w:p w:rsidR="00323AC1" w:rsidRPr="00B0166C" w:rsidRDefault="00323AC1" w:rsidP="00D62E93">
      <w:pPr>
        <w:spacing w:after="0" w:line="240" w:lineRule="auto"/>
        <w:ind w:left="397" w:right="397"/>
        <w:jc w:val="center"/>
        <w:rPr>
          <w:rFonts w:ascii="Arial" w:hAnsi="Arial" w:cs="Arial"/>
          <w:b/>
        </w:rPr>
      </w:pPr>
    </w:p>
    <w:p w:rsidR="00323AC1" w:rsidRPr="00B0166C" w:rsidRDefault="000741AA" w:rsidP="00D62E93">
      <w:pPr>
        <w:spacing w:after="0" w:line="240" w:lineRule="auto"/>
        <w:ind w:left="397" w:right="39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OUTCOME OF MERGER HEARING </w:t>
      </w:r>
      <w:r w:rsidR="00323AC1" w:rsidRPr="00B0166C">
        <w:rPr>
          <w:rFonts w:ascii="Arial" w:hAnsi="Arial" w:cs="Arial"/>
          <w:b/>
        </w:rPr>
        <w:t>- WEDNESDAY</w:t>
      </w:r>
      <w:r w:rsidR="00323AC1">
        <w:rPr>
          <w:rFonts w:ascii="Arial" w:hAnsi="Arial" w:cs="Arial"/>
          <w:b/>
        </w:rPr>
        <w:t>, 10 MAY 2017</w:t>
      </w:r>
    </w:p>
    <w:p w:rsidR="00323AC1" w:rsidRPr="00B0166C" w:rsidRDefault="00323AC1" w:rsidP="00D62E93">
      <w:pPr>
        <w:spacing w:after="0" w:line="240" w:lineRule="auto"/>
        <w:ind w:left="397" w:right="397"/>
        <w:jc w:val="both"/>
        <w:rPr>
          <w:rFonts w:ascii="Arial" w:hAnsi="Arial" w:cs="Arial"/>
          <w:b/>
        </w:rPr>
      </w:pPr>
    </w:p>
    <w:p w:rsidR="00323AC1" w:rsidRPr="00B0166C" w:rsidRDefault="00323AC1" w:rsidP="00D62E93">
      <w:pPr>
        <w:spacing w:after="0" w:line="240" w:lineRule="auto"/>
        <w:ind w:left="397" w:right="397"/>
        <w:jc w:val="both"/>
        <w:rPr>
          <w:rFonts w:ascii="Arial" w:hAnsi="Arial" w:cs="Arial"/>
          <w:b/>
        </w:rPr>
      </w:pPr>
    </w:p>
    <w:p w:rsidR="00323AC1" w:rsidRPr="00B0166C" w:rsidRDefault="00323AC1" w:rsidP="00D62E93">
      <w:pPr>
        <w:spacing w:after="0" w:line="240" w:lineRule="auto"/>
        <w:ind w:left="397" w:right="397"/>
        <w:jc w:val="both"/>
        <w:rPr>
          <w:rFonts w:ascii="Arial" w:hAnsi="Arial" w:cs="Arial"/>
        </w:rPr>
      </w:pPr>
    </w:p>
    <w:tbl>
      <w:tblPr>
        <w:tblStyle w:val="TableGrid"/>
        <w:tblW w:w="9350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"/>
        <w:gridCol w:w="3119"/>
        <w:gridCol w:w="2409"/>
        <w:gridCol w:w="1984"/>
      </w:tblGrid>
      <w:tr w:rsidR="00B064B2" w:rsidRPr="00B0166C" w:rsidTr="00B064B2">
        <w:trPr>
          <w:trHeight w:val="972"/>
        </w:trPr>
        <w:tc>
          <w:tcPr>
            <w:tcW w:w="1555" w:type="dxa"/>
            <w:shd w:val="clear" w:color="auto" w:fill="996633"/>
          </w:tcPr>
          <w:p w:rsidR="00B064B2" w:rsidRPr="00B0166C" w:rsidRDefault="00B064B2" w:rsidP="00B064B2">
            <w:pPr>
              <w:ind w:right="397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402" w:type="dxa"/>
            <w:gridSpan w:val="2"/>
            <w:shd w:val="clear" w:color="auto" w:fill="996633"/>
          </w:tcPr>
          <w:p w:rsidR="00B064B2" w:rsidRPr="00B0166C" w:rsidRDefault="00B064B2" w:rsidP="00D62E93">
            <w:pPr>
              <w:ind w:left="397" w:right="397"/>
              <w:rPr>
                <w:rFonts w:ascii="Arial" w:hAnsi="Arial" w:cs="Arial"/>
                <w:color w:val="FFFFFF" w:themeColor="background1"/>
              </w:rPr>
            </w:pPr>
            <w:r w:rsidRPr="00B0166C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409" w:type="dxa"/>
            <w:shd w:val="clear" w:color="auto" w:fill="996633"/>
          </w:tcPr>
          <w:p w:rsidR="00B064B2" w:rsidRPr="00B0166C" w:rsidRDefault="00B064B2" w:rsidP="00B064B2">
            <w:pPr>
              <w:ind w:right="397"/>
              <w:rPr>
                <w:rFonts w:ascii="Arial" w:hAnsi="Arial" w:cs="Arial"/>
                <w:color w:val="FFFFFF" w:themeColor="background1"/>
              </w:rPr>
            </w:pPr>
            <w:r w:rsidRPr="00B0166C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  <w:tc>
          <w:tcPr>
            <w:tcW w:w="1984" w:type="dxa"/>
            <w:shd w:val="clear" w:color="auto" w:fill="996633"/>
          </w:tcPr>
          <w:p w:rsidR="00B064B2" w:rsidRPr="00B0166C" w:rsidRDefault="00B064B2" w:rsidP="00B064B2">
            <w:pPr>
              <w:ind w:right="397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Tribunal decision</w:t>
            </w:r>
          </w:p>
        </w:tc>
      </w:tr>
      <w:tr w:rsidR="00B064B2" w:rsidRPr="00B0166C" w:rsidTr="00B064B2">
        <w:trPr>
          <w:trHeight w:val="493"/>
        </w:trPr>
        <w:tc>
          <w:tcPr>
            <w:tcW w:w="1838" w:type="dxa"/>
            <w:gridSpan w:val="2"/>
          </w:tcPr>
          <w:p w:rsidR="00B064B2" w:rsidRPr="00B0166C" w:rsidRDefault="00B064B2" w:rsidP="00B064B2">
            <w:pPr>
              <w:ind w:right="39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19" w:type="dxa"/>
          </w:tcPr>
          <w:p w:rsidR="00B064B2" w:rsidRPr="00323AC1" w:rsidRDefault="00B064B2" w:rsidP="00B064B2">
            <w:pPr>
              <w:ind w:right="397"/>
              <w:jc w:val="both"/>
              <w:rPr>
                <w:rFonts w:ascii="Arial" w:hAnsi="Arial" w:cs="Arial"/>
              </w:rPr>
            </w:pPr>
            <w:proofErr w:type="spellStart"/>
            <w:r w:rsidRPr="00323AC1">
              <w:rPr>
                <w:rFonts w:ascii="Arial" w:hAnsi="Arial" w:cs="Arial"/>
                <w:color w:val="000000"/>
              </w:rPr>
              <w:t>Hesteel</w:t>
            </w:r>
            <w:proofErr w:type="spellEnd"/>
            <w:r w:rsidRPr="00323AC1">
              <w:rPr>
                <w:rFonts w:ascii="Arial" w:hAnsi="Arial" w:cs="Arial"/>
                <w:color w:val="000000"/>
              </w:rPr>
              <w:t xml:space="preserve"> International Holdings Ltd, </w:t>
            </w:r>
            <w:proofErr w:type="spellStart"/>
            <w:r w:rsidRPr="00323AC1">
              <w:rPr>
                <w:rFonts w:ascii="Arial" w:hAnsi="Arial" w:cs="Arial"/>
                <w:color w:val="000000"/>
              </w:rPr>
              <w:t>Hesteel</w:t>
            </w:r>
            <w:proofErr w:type="spellEnd"/>
            <w:r w:rsidRPr="00323AC1">
              <w:rPr>
                <w:rFonts w:ascii="Arial" w:hAnsi="Arial" w:cs="Arial"/>
                <w:color w:val="000000"/>
              </w:rPr>
              <w:t xml:space="preserve"> Group Co. Ltd And </w:t>
            </w:r>
            <w:proofErr w:type="spellStart"/>
            <w:r w:rsidRPr="00323AC1">
              <w:rPr>
                <w:rFonts w:ascii="Arial" w:hAnsi="Arial" w:cs="Arial"/>
                <w:color w:val="000000"/>
              </w:rPr>
              <w:t>Xuanhua</w:t>
            </w:r>
            <w:proofErr w:type="spellEnd"/>
            <w:r w:rsidRPr="00323AC1">
              <w:rPr>
                <w:rFonts w:ascii="Arial" w:hAnsi="Arial" w:cs="Arial"/>
                <w:color w:val="000000"/>
              </w:rPr>
              <w:t xml:space="preserve"> Construction Machinery Co. Ltd</w:t>
            </w:r>
          </w:p>
        </w:tc>
        <w:tc>
          <w:tcPr>
            <w:tcW w:w="2409" w:type="dxa"/>
          </w:tcPr>
          <w:p w:rsidR="00B064B2" w:rsidRPr="00B0166C" w:rsidRDefault="00B064B2" w:rsidP="00B064B2">
            <w:pPr>
              <w:ind w:right="39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Approve without conditions </w:t>
            </w:r>
          </w:p>
        </w:tc>
        <w:tc>
          <w:tcPr>
            <w:tcW w:w="1984" w:type="dxa"/>
          </w:tcPr>
          <w:p w:rsidR="00B064B2" w:rsidRDefault="00B064B2" w:rsidP="00B064B2">
            <w:pPr>
              <w:ind w:right="39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Approved without conditions</w:t>
            </w:r>
          </w:p>
        </w:tc>
      </w:tr>
    </w:tbl>
    <w:p w:rsidR="00323AC1" w:rsidRDefault="00323AC1" w:rsidP="00D62E93">
      <w:pPr>
        <w:autoSpaceDE w:val="0"/>
        <w:autoSpaceDN w:val="0"/>
        <w:spacing w:line="276" w:lineRule="auto"/>
        <w:ind w:left="397" w:right="397"/>
        <w:contextualSpacing/>
        <w:jc w:val="both"/>
        <w:rPr>
          <w:rFonts w:ascii="Arial" w:eastAsia="Calibri" w:hAnsi="Arial" w:cs="Arial"/>
          <w:b/>
        </w:rPr>
      </w:pPr>
    </w:p>
    <w:p w:rsidR="00323AC1" w:rsidRDefault="000741AA" w:rsidP="002A3009">
      <w:pPr>
        <w:autoSpaceDE w:val="0"/>
        <w:autoSpaceDN w:val="0"/>
        <w:spacing w:line="276" w:lineRule="auto"/>
        <w:ind w:left="397" w:right="397"/>
        <w:contextualSpacing/>
        <w:jc w:val="both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</w:rPr>
        <w:t xml:space="preserve">Tribunal approves merger of </w:t>
      </w:r>
      <w:proofErr w:type="spellStart"/>
      <w:r w:rsidR="00B064B2">
        <w:rPr>
          <w:rFonts w:ascii="Arial" w:hAnsi="Arial" w:cs="Arial"/>
          <w:b/>
          <w:bCs/>
        </w:rPr>
        <w:t>Hersteel</w:t>
      </w:r>
      <w:proofErr w:type="spellEnd"/>
      <w:r w:rsidR="00B064B2">
        <w:rPr>
          <w:rFonts w:ascii="Arial" w:hAnsi="Arial" w:cs="Arial"/>
          <w:b/>
          <w:bCs/>
        </w:rPr>
        <w:t xml:space="preserve"> Group and </w:t>
      </w:r>
      <w:r w:rsidR="00264382">
        <w:rPr>
          <w:rFonts w:ascii="Arial" w:hAnsi="Arial" w:cs="Arial"/>
          <w:b/>
          <w:bCs/>
        </w:rPr>
        <w:t xml:space="preserve">Smart Union Resources (Hong Kong) Co. Ltd </w:t>
      </w:r>
    </w:p>
    <w:p w:rsidR="00B064B2" w:rsidRDefault="00B064B2" w:rsidP="002A3009">
      <w:pPr>
        <w:autoSpaceDE w:val="0"/>
        <w:autoSpaceDN w:val="0"/>
        <w:spacing w:line="276" w:lineRule="auto"/>
        <w:ind w:left="397" w:right="397"/>
        <w:jc w:val="both"/>
        <w:rPr>
          <w:rFonts w:ascii="Arial" w:hAnsi="Arial" w:cs="Arial"/>
          <w:lang w:val="en-GB"/>
        </w:rPr>
      </w:pPr>
    </w:p>
    <w:p w:rsidR="000741AA" w:rsidRDefault="00323AC1" w:rsidP="002A3009">
      <w:pPr>
        <w:autoSpaceDE w:val="0"/>
        <w:autoSpaceDN w:val="0"/>
        <w:spacing w:line="276" w:lineRule="auto"/>
        <w:ind w:left="397" w:right="397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Competition Tribunal </w:t>
      </w:r>
      <w:r w:rsidR="000741AA">
        <w:rPr>
          <w:rFonts w:ascii="Arial" w:hAnsi="Arial" w:cs="Arial"/>
          <w:lang w:val="en-GB"/>
        </w:rPr>
        <w:t xml:space="preserve">has approved without conditions the </w:t>
      </w:r>
      <w:r>
        <w:rPr>
          <w:rFonts w:ascii="Arial" w:hAnsi="Arial" w:cs="Arial"/>
          <w:lang w:val="en-GB"/>
        </w:rPr>
        <w:t xml:space="preserve">large merger </w:t>
      </w:r>
      <w:r w:rsidR="00B064B2">
        <w:rPr>
          <w:rFonts w:ascii="Arial" w:hAnsi="Arial" w:cs="Arial"/>
          <w:lang w:val="en-GB"/>
        </w:rPr>
        <w:t>involving</w:t>
      </w:r>
      <w:r w:rsidR="000741AA">
        <w:rPr>
          <w:rFonts w:ascii="Arial" w:hAnsi="Arial" w:cs="Arial"/>
          <w:lang w:val="en-GB"/>
        </w:rPr>
        <w:t xml:space="preserve"> </w:t>
      </w:r>
      <w:proofErr w:type="spellStart"/>
      <w:r w:rsidR="00B064B2">
        <w:rPr>
          <w:rFonts w:ascii="Arial" w:hAnsi="Arial" w:cs="Arial"/>
        </w:rPr>
        <w:t>Hesteel</w:t>
      </w:r>
      <w:proofErr w:type="spellEnd"/>
      <w:r w:rsidR="00B064B2">
        <w:rPr>
          <w:rFonts w:ascii="Arial" w:hAnsi="Arial" w:cs="Arial"/>
        </w:rPr>
        <w:t xml:space="preserve"> International</w:t>
      </w:r>
      <w:r w:rsidR="00B064B2">
        <w:rPr>
          <w:rFonts w:ascii="Arial" w:hAnsi="Arial" w:cs="Arial"/>
        </w:rPr>
        <w:t xml:space="preserve"> Holding Co</w:t>
      </w:r>
      <w:r w:rsidR="002A3009">
        <w:rPr>
          <w:rFonts w:ascii="Arial" w:hAnsi="Arial" w:cs="Arial"/>
        </w:rPr>
        <w:t>.</w:t>
      </w:r>
      <w:r w:rsidR="00B064B2">
        <w:rPr>
          <w:rFonts w:ascii="Arial" w:hAnsi="Arial" w:cs="Arial"/>
        </w:rPr>
        <w:t xml:space="preserve"> Limited</w:t>
      </w:r>
      <w:r w:rsidR="00B064B2">
        <w:rPr>
          <w:rFonts w:ascii="Arial" w:hAnsi="Arial" w:cs="Arial"/>
        </w:rPr>
        <w:t xml:space="preserve">, </w:t>
      </w:r>
      <w:proofErr w:type="spellStart"/>
      <w:r w:rsidR="00B064B2">
        <w:rPr>
          <w:rFonts w:ascii="Arial" w:hAnsi="Arial" w:cs="Arial"/>
        </w:rPr>
        <w:t>Hesteel</w:t>
      </w:r>
      <w:proofErr w:type="spellEnd"/>
      <w:r w:rsidR="00B064B2">
        <w:rPr>
          <w:rFonts w:ascii="Arial" w:hAnsi="Arial" w:cs="Arial"/>
        </w:rPr>
        <w:t xml:space="preserve"> Group</w:t>
      </w:r>
      <w:r w:rsidR="00B064B2">
        <w:rPr>
          <w:rFonts w:ascii="Arial" w:hAnsi="Arial" w:cs="Arial"/>
        </w:rPr>
        <w:t xml:space="preserve"> Co</w:t>
      </w:r>
      <w:r w:rsidR="002A3009">
        <w:rPr>
          <w:rFonts w:ascii="Arial" w:hAnsi="Arial" w:cs="Arial"/>
        </w:rPr>
        <w:t>.</w:t>
      </w:r>
      <w:r w:rsidR="00B064B2">
        <w:rPr>
          <w:rFonts w:ascii="Arial" w:hAnsi="Arial" w:cs="Arial"/>
        </w:rPr>
        <w:t xml:space="preserve"> Ltd, </w:t>
      </w:r>
      <w:proofErr w:type="spellStart"/>
      <w:r w:rsidR="00B064B2">
        <w:rPr>
          <w:rFonts w:ascii="Arial" w:hAnsi="Arial" w:cs="Arial"/>
        </w:rPr>
        <w:t>Xuanhua</w:t>
      </w:r>
      <w:proofErr w:type="spellEnd"/>
      <w:r w:rsidR="00B064B2">
        <w:rPr>
          <w:rFonts w:ascii="Arial" w:hAnsi="Arial" w:cs="Arial"/>
        </w:rPr>
        <w:t xml:space="preserve"> Construction Machinery</w:t>
      </w:r>
      <w:r w:rsidR="00B064B2">
        <w:rPr>
          <w:rFonts w:ascii="Arial" w:hAnsi="Arial" w:cs="Arial"/>
          <w:lang w:val="en-GB"/>
        </w:rPr>
        <w:t xml:space="preserve"> Co</w:t>
      </w:r>
      <w:r w:rsidR="002A3009">
        <w:rPr>
          <w:rFonts w:ascii="Arial" w:hAnsi="Arial" w:cs="Arial"/>
          <w:lang w:val="en-GB"/>
        </w:rPr>
        <w:t>. Limited</w:t>
      </w:r>
      <w:r w:rsidR="00B064B2">
        <w:rPr>
          <w:rFonts w:ascii="Arial" w:hAnsi="Arial" w:cs="Arial"/>
          <w:lang w:val="en-GB"/>
        </w:rPr>
        <w:t xml:space="preserve"> </w:t>
      </w:r>
      <w:r w:rsidR="000741AA">
        <w:rPr>
          <w:rFonts w:ascii="Arial" w:hAnsi="Arial" w:cs="Arial"/>
          <w:lang w:val="en-GB"/>
        </w:rPr>
        <w:t xml:space="preserve">and Smart Union Resources (Hong Kong) Co (SUHK). The target firm SUHK ultimately controls </w:t>
      </w:r>
      <w:proofErr w:type="spellStart"/>
      <w:r w:rsidR="006625D8">
        <w:rPr>
          <w:rFonts w:ascii="Arial" w:hAnsi="Arial" w:cs="Arial"/>
          <w:lang w:val="en-GB"/>
        </w:rPr>
        <w:t>Palabora</w:t>
      </w:r>
      <w:proofErr w:type="spellEnd"/>
      <w:r w:rsidR="006625D8">
        <w:rPr>
          <w:rFonts w:ascii="Arial" w:hAnsi="Arial" w:cs="Arial"/>
          <w:lang w:val="en-GB"/>
        </w:rPr>
        <w:t xml:space="preserve"> Mining Company Limited which in turn owns </w:t>
      </w:r>
      <w:proofErr w:type="spellStart"/>
      <w:r w:rsidR="006625D8">
        <w:rPr>
          <w:rFonts w:ascii="Arial" w:hAnsi="Arial" w:cs="Arial"/>
          <w:lang w:val="en-GB"/>
        </w:rPr>
        <w:t>Palabora</w:t>
      </w:r>
      <w:proofErr w:type="spellEnd"/>
      <w:r w:rsidR="006625D8">
        <w:rPr>
          <w:rFonts w:ascii="Arial" w:hAnsi="Arial" w:cs="Arial"/>
          <w:lang w:val="en-GB"/>
        </w:rPr>
        <w:t xml:space="preserve"> Copper (Pty) Ltd. </w:t>
      </w:r>
    </w:p>
    <w:p w:rsidR="00323AC1" w:rsidRDefault="00B064B2" w:rsidP="002A3009">
      <w:pPr>
        <w:autoSpaceDE w:val="0"/>
        <w:autoSpaceDN w:val="0"/>
        <w:spacing w:line="276" w:lineRule="auto"/>
        <w:ind w:left="397" w:right="397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acquiring companies are </w:t>
      </w:r>
      <w:r w:rsidR="00323AC1">
        <w:rPr>
          <w:rFonts w:ascii="Arial" w:hAnsi="Arial" w:cs="Arial"/>
        </w:rPr>
        <w:t xml:space="preserve">incorporated in accordance with the laws of the People’s Republic of China. </w:t>
      </w:r>
      <w:r w:rsidR="00323AC1">
        <w:rPr>
          <w:rFonts w:ascii="Arial" w:hAnsi="Arial" w:cs="Arial"/>
          <w:lang w:val="en-GB"/>
        </w:rPr>
        <w:t xml:space="preserve">The </w:t>
      </w:r>
      <w:proofErr w:type="spellStart"/>
      <w:r w:rsidR="00323AC1">
        <w:rPr>
          <w:rFonts w:ascii="Arial" w:hAnsi="Arial" w:cs="Arial"/>
          <w:lang w:val="en-GB"/>
        </w:rPr>
        <w:t>Hesteel</w:t>
      </w:r>
      <w:proofErr w:type="spellEnd"/>
      <w:r w:rsidR="00323AC1">
        <w:rPr>
          <w:rFonts w:ascii="Arial" w:hAnsi="Arial" w:cs="Arial"/>
          <w:lang w:val="en-GB"/>
        </w:rPr>
        <w:t xml:space="preserve"> Group</w:t>
      </w:r>
      <w:r w:rsidR="006625D8" w:rsidRPr="006625D8">
        <w:rPr>
          <w:rFonts w:ascii="Arial" w:hAnsi="Arial" w:cs="Arial"/>
          <w:lang w:val="en-GB"/>
        </w:rPr>
        <w:t xml:space="preserve"> </w:t>
      </w:r>
      <w:r w:rsidR="006625D8">
        <w:rPr>
          <w:rFonts w:ascii="Arial" w:hAnsi="Arial" w:cs="Arial"/>
          <w:lang w:val="en-GB"/>
        </w:rPr>
        <w:t>is Chinese state-owned company that is</w:t>
      </w:r>
      <w:r w:rsidR="00323AC1">
        <w:rPr>
          <w:rFonts w:ascii="Arial" w:hAnsi="Arial" w:cs="Arial"/>
          <w:lang w:val="en-GB"/>
        </w:rPr>
        <w:t xml:space="preserve"> primarily focused on steel production and produces steel products in China. The </w:t>
      </w:r>
      <w:proofErr w:type="spellStart"/>
      <w:r w:rsidR="00323AC1">
        <w:rPr>
          <w:rFonts w:ascii="Arial" w:hAnsi="Arial" w:cs="Arial"/>
          <w:lang w:val="en-GB"/>
        </w:rPr>
        <w:t>Hesteel</w:t>
      </w:r>
      <w:proofErr w:type="spellEnd"/>
      <w:r w:rsidR="00323AC1">
        <w:rPr>
          <w:rFonts w:ascii="Arial" w:hAnsi="Arial" w:cs="Arial"/>
          <w:lang w:val="en-GB"/>
        </w:rPr>
        <w:t xml:space="preserve"> Group</w:t>
      </w:r>
      <w:r w:rsidR="006625D8">
        <w:rPr>
          <w:rFonts w:ascii="Arial" w:hAnsi="Arial" w:cs="Arial"/>
          <w:lang w:val="en-GB"/>
        </w:rPr>
        <w:t xml:space="preserve"> </w:t>
      </w:r>
      <w:r w:rsidR="00323AC1">
        <w:rPr>
          <w:rFonts w:ascii="Arial" w:hAnsi="Arial" w:cs="Arial"/>
          <w:lang w:val="en-GB"/>
        </w:rPr>
        <w:t xml:space="preserve">is also active in other businesses spanning across the mining, mineral resources development, equipment manufacturing, financial services and logistics sectors. </w:t>
      </w:r>
    </w:p>
    <w:p w:rsidR="00323AC1" w:rsidRDefault="00323AC1" w:rsidP="002A3009">
      <w:pPr>
        <w:spacing w:line="276" w:lineRule="auto"/>
        <w:ind w:left="397" w:right="397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primary target firm is SUHK, a company incorporated in accordance with the laws of the People’s Republic of China. SUHK is an investment holding company which is based in Hong Kong. </w:t>
      </w:r>
    </w:p>
    <w:p w:rsidR="006625D8" w:rsidRDefault="006625D8" w:rsidP="002A3009">
      <w:pPr>
        <w:autoSpaceDE w:val="0"/>
        <w:autoSpaceDN w:val="0"/>
        <w:spacing w:line="276" w:lineRule="auto"/>
        <w:ind w:left="397" w:right="397"/>
        <w:jc w:val="both"/>
        <w:rPr>
          <w:rFonts w:ascii="Arial" w:hAnsi="Arial" w:cs="Arial"/>
          <w:lang w:val="en-GB"/>
        </w:rPr>
      </w:pPr>
      <w:proofErr w:type="spellStart"/>
      <w:r>
        <w:rPr>
          <w:rFonts w:ascii="Arial" w:hAnsi="Arial" w:cs="Arial"/>
          <w:lang w:val="en-GB"/>
        </w:rPr>
        <w:t>Palabora</w:t>
      </w:r>
      <w:proofErr w:type="spellEnd"/>
      <w:r>
        <w:rPr>
          <w:rFonts w:ascii="Arial" w:hAnsi="Arial" w:cs="Arial"/>
          <w:lang w:val="en-GB"/>
        </w:rPr>
        <w:t xml:space="preserve"> Copper (Pty) Ltd operates a large block cave copper mine and smelter complex. PC’s copper production process also gives rise to by-products such as iron ore. </w:t>
      </w:r>
    </w:p>
    <w:p w:rsidR="00323AC1" w:rsidRPr="00B0166C" w:rsidRDefault="00323AC1" w:rsidP="002A3009">
      <w:pPr>
        <w:spacing w:after="0" w:line="240" w:lineRule="auto"/>
        <w:ind w:left="397" w:right="397"/>
        <w:jc w:val="both"/>
        <w:rPr>
          <w:rFonts w:ascii="Arial" w:hAnsi="Arial" w:cs="Arial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 xml:space="preserve">Issued by: </w:t>
      </w:r>
    </w:p>
    <w:p w:rsidR="00323AC1" w:rsidRPr="00B0166C" w:rsidRDefault="00323AC1" w:rsidP="002A3009">
      <w:pPr>
        <w:spacing w:after="0" w:line="240" w:lineRule="auto"/>
        <w:ind w:left="397" w:right="397"/>
        <w:jc w:val="both"/>
        <w:rPr>
          <w:rFonts w:ascii="Arial" w:hAnsi="Arial" w:cs="Arial"/>
          <w:color w:val="000000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 xml:space="preserve">Chantelle Benjamin </w:t>
      </w:r>
    </w:p>
    <w:p w:rsidR="00323AC1" w:rsidRPr="00B0166C" w:rsidRDefault="00323AC1" w:rsidP="002A3009">
      <w:pPr>
        <w:spacing w:after="0" w:line="240" w:lineRule="auto"/>
        <w:ind w:left="397" w:right="397"/>
        <w:jc w:val="both"/>
        <w:rPr>
          <w:rFonts w:ascii="Arial" w:hAnsi="Arial" w:cs="Arial"/>
          <w:color w:val="000000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>Communications: Competition Tribunal   </w:t>
      </w:r>
    </w:p>
    <w:p w:rsidR="00323AC1" w:rsidRPr="00B0166C" w:rsidRDefault="00323AC1" w:rsidP="002A3009">
      <w:pPr>
        <w:spacing w:after="0" w:line="240" w:lineRule="auto"/>
        <w:ind w:left="397" w:right="397"/>
        <w:jc w:val="both"/>
        <w:rPr>
          <w:rFonts w:ascii="Arial" w:hAnsi="Arial" w:cs="Arial"/>
          <w:color w:val="000000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 xml:space="preserve">Tel (012)394 1383                                      </w:t>
      </w:r>
    </w:p>
    <w:p w:rsidR="00323AC1" w:rsidRPr="00B0166C" w:rsidRDefault="00323AC1" w:rsidP="002A3009">
      <w:pPr>
        <w:spacing w:after="0" w:line="240" w:lineRule="auto"/>
        <w:ind w:left="397" w:right="397"/>
        <w:jc w:val="both"/>
        <w:rPr>
          <w:rFonts w:ascii="Arial" w:hAnsi="Arial" w:cs="Arial"/>
          <w:color w:val="000000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>Cell: +27 (0) 73 007 5603  </w:t>
      </w:r>
    </w:p>
    <w:p w:rsidR="00323AC1" w:rsidRPr="00B0166C" w:rsidRDefault="00323AC1" w:rsidP="002A3009">
      <w:pPr>
        <w:spacing w:after="0" w:line="240" w:lineRule="auto"/>
        <w:ind w:left="397" w:right="397"/>
        <w:jc w:val="both"/>
        <w:rPr>
          <w:rFonts w:ascii="Arial" w:hAnsi="Arial" w:cs="Arial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 xml:space="preserve">Twitter: @comptrib                                        </w:t>
      </w:r>
    </w:p>
    <w:p w:rsidR="00323AC1" w:rsidRPr="00B0166C" w:rsidRDefault="00323AC1" w:rsidP="002A3009">
      <w:pPr>
        <w:spacing w:after="0" w:line="240" w:lineRule="auto"/>
        <w:ind w:left="397" w:right="397"/>
        <w:jc w:val="both"/>
        <w:rPr>
          <w:rFonts w:ascii="Arial" w:hAnsi="Arial" w:cs="Arial"/>
        </w:rPr>
      </w:pPr>
      <w:r w:rsidRPr="00B0166C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B0166C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B0166C">
        <w:rPr>
          <w:rFonts w:ascii="Arial" w:hAnsi="Arial" w:cs="Arial"/>
        </w:rPr>
        <w:t xml:space="preserve"> </w:t>
      </w:r>
    </w:p>
    <w:p w:rsidR="00323AC1" w:rsidRPr="00B0166C" w:rsidRDefault="00323AC1" w:rsidP="002A3009">
      <w:pPr>
        <w:spacing w:after="0" w:line="240" w:lineRule="auto"/>
        <w:ind w:left="397" w:right="397"/>
        <w:jc w:val="both"/>
        <w:rPr>
          <w:rFonts w:ascii="Arial" w:hAnsi="Arial" w:cs="Arial"/>
          <w:color w:val="000000"/>
        </w:rPr>
      </w:pPr>
    </w:p>
    <w:p w:rsidR="00323AC1" w:rsidRPr="00B0166C" w:rsidRDefault="00323AC1" w:rsidP="002A3009">
      <w:pPr>
        <w:spacing w:after="0" w:line="240" w:lineRule="auto"/>
        <w:ind w:left="397" w:right="397"/>
        <w:jc w:val="both"/>
        <w:rPr>
          <w:rFonts w:ascii="Arial" w:hAnsi="Arial" w:cs="Arial"/>
          <w:color w:val="000000"/>
        </w:rPr>
      </w:pPr>
    </w:p>
    <w:p w:rsidR="00323AC1" w:rsidRPr="00B0166C" w:rsidRDefault="00323AC1" w:rsidP="002A3009">
      <w:pPr>
        <w:spacing w:after="0" w:line="240" w:lineRule="auto"/>
        <w:ind w:left="397" w:right="397"/>
        <w:jc w:val="both"/>
        <w:rPr>
          <w:rFonts w:ascii="Arial" w:hAnsi="Arial" w:cs="Arial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>On Behalf Of:</w:t>
      </w:r>
    </w:p>
    <w:p w:rsidR="00323AC1" w:rsidRPr="00B0166C" w:rsidRDefault="00323AC1" w:rsidP="002A3009">
      <w:pPr>
        <w:spacing w:after="0" w:line="240" w:lineRule="auto"/>
        <w:ind w:left="397" w:right="397"/>
        <w:jc w:val="both"/>
        <w:rPr>
          <w:rFonts w:ascii="Arial" w:hAnsi="Arial" w:cs="Arial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323AC1" w:rsidRPr="00B0166C" w:rsidRDefault="00323AC1" w:rsidP="002A3009">
      <w:pPr>
        <w:spacing w:after="0" w:line="240" w:lineRule="auto"/>
        <w:ind w:left="397" w:right="397"/>
        <w:jc w:val="both"/>
        <w:rPr>
          <w:rFonts w:ascii="Arial" w:hAnsi="Arial" w:cs="Arial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323AC1" w:rsidRPr="00B0166C" w:rsidRDefault="00323AC1" w:rsidP="002A3009">
      <w:pPr>
        <w:spacing w:after="0" w:line="240" w:lineRule="auto"/>
        <w:ind w:left="397" w:right="397"/>
        <w:jc w:val="both"/>
        <w:rPr>
          <w:rFonts w:ascii="Arial" w:hAnsi="Arial" w:cs="Arial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323AC1" w:rsidRPr="00B0166C" w:rsidRDefault="00323AC1" w:rsidP="002A3009">
      <w:pPr>
        <w:spacing w:after="0" w:line="240" w:lineRule="auto"/>
        <w:ind w:left="397" w:right="397"/>
        <w:jc w:val="both"/>
        <w:rPr>
          <w:rFonts w:ascii="Arial" w:hAnsi="Arial" w:cs="Arial"/>
          <w:lang w:eastAsia="en-ZA"/>
        </w:rPr>
      </w:pPr>
      <w:r w:rsidRPr="00B0166C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323AC1" w:rsidRPr="00B0166C" w:rsidRDefault="00323AC1" w:rsidP="002A3009">
      <w:pPr>
        <w:spacing w:after="0" w:line="240" w:lineRule="auto"/>
        <w:ind w:left="397" w:right="397"/>
        <w:jc w:val="both"/>
        <w:rPr>
          <w:rFonts w:ascii="Arial" w:hAnsi="Arial" w:cs="Arial"/>
        </w:rPr>
      </w:pPr>
      <w:r w:rsidRPr="00B0166C">
        <w:rPr>
          <w:rFonts w:ascii="Arial" w:hAnsi="Arial" w:cs="Arial"/>
          <w:color w:val="000000"/>
          <w:lang w:eastAsia="en-ZA"/>
        </w:rPr>
        <w:t xml:space="preserve">E-Mail: </w:t>
      </w:r>
      <w:hyperlink r:id="rId7" w:history="1">
        <w:r w:rsidRPr="00B0166C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:rsidR="00323AC1" w:rsidRDefault="00323AC1" w:rsidP="002A3009">
      <w:pPr>
        <w:ind w:left="397" w:right="397"/>
      </w:pPr>
    </w:p>
    <w:p w:rsidR="003E6D12" w:rsidRDefault="00B3419C" w:rsidP="002A3009">
      <w:pPr>
        <w:ind w:left="397" w:right="397"/>
      </w:pPr>
    </w:p>
    <w:sectPr w:rsidR="003E6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026F8"/>
    <w:multiLevelType w:val="multilevel"/>
    <w:tmpl w:val="492213FE"/>
    <w:lvl w:ilvl="0">
      <w:start w:val="1"/>
      <w:numFmt w:val="decimal"/>
      <w:lvlText w:val="%1"/>
      <w:lvlJc w:val="left"/>
      <w:pPr>
        <w:ind w:left="390" w:hanging="390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Arial" w:hAnsi="Arial" w:cs="Times New Roman" w:hint="default"/>
        <w:b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Times New Roman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Times New Roman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Times New Roman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Times New Roman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Times New Roman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Times New Roman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Times New Roman" w:hint="default"/>
        <w:b/>
        <w:sz w:val="22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AC1"/>
    <w:rsid w:val="000741AA"/>
    <w:rsid w:val="00264382"/>
    <w:rsid w:val="002A3009"/>
    <w:rsid w:val="002A5A09"/>
    <w:rsid w:val="00323AC1"/>
    <w:rsid w:val="004755EC"/>
    <w:rsid w:val="006625D8"/>
    <w:rsid w:val="00AA2C77"/>
    <w:rsid w:val="00B064B2"/>
    <w:rsid w:val="00D62E93"/>
    <w:rsid w:val="00D9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9743AA5-F6C3-4FB0-95D4-849FBDD4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AC1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3AC1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3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atoM@comptrib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listairV\AppData\Local\Microsoft\Windows\Temporary%20Internet%20Files\Content.Outlook\HMBET88G\chantelleb@comptrib.co.z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3</cp:revision>
  <dcterms:created xsi:type="dcterms:W3CDTF">2017-05-10T16:46:00Z</dcterms:created>
  <dcterms:modified xsi:type="dcterms:W3CDTF">2017-05-10T16:59:00Z</dcterms:modified>
</cp:coreProperties>
</file>