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78" w:rsidRDefault="001D5078" w:rsidP="001D5078">
      <w:pPr>
        <w:jc w:val="center"/>
        <w:rPr>
          <w:b/>
          <w:u w:val="single"/>
        </w:rPr>
      </w:pPr>
      <w:r w:rsidRPr="00B0166C">
        <w:rPr>
          <w:rFonts w:ascii="Arial" w:hAnsi="Arial" w:cs="Arial"/>
          <w:b/>
          <w:noProof/>
          <w:lang w:eastAsia="en-ZA"/>
        </w:rPr>
        <w:drawing>
          <wp:inline distT="0" distB="0" distL="0" distR="0" wp14:anchorId="52519B4C" wp14:editId="1FBF9824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078" w:rsidRPr="00400062" w:rsidRDefault="00400062" w:rsidP="00400062">
      <w:pPr>
        <w:jc w:val="right"/>
        <w:rPr>
          <w:b/>
        </w:rPr>
      </w:pPr>
      <w:r w:rsidRPr="00400062">
        <w:rPr>
          <w:b/>
        </w:rPr>
        <w:t>6 November, 2017</w:t>
      </w:r>
    </w:p>
    <w:p w:rsidR="001D5078" w:rsidRPr="001D5078" w:rsidRDefault="001D5078" w:rsidP="0027409B">
      <w:pPr>
        <w:jc w:val="both"/>
        <w:rPr>
          <w:b/>
        </w:rPr>
      </w:pPr>
      <w:r w:rsidRPr="001D5078">
        <w:rPr>
          <w:b/>
        </w:rPr>
        <w:t>Standard Bank is not yet entitled to a copy of the Commission’s investigation record</w:t>
      </w:r>
      <w:r>
        <w:rPr>
          <w:b/>
        </w:rPr>
        <w:t xml:space="preserve"> - Tribunal</w:t>
      </w:r>
    </w:p>
    <w:p w:rsidR="0027409B" w:rsidRDefault="00B87B34" w:rsidP="0027409B">
      <w:pPr>
        <w:jc w:val="both"/>
      </w:pPr>
      <w:r>
        <w:t xml:space="preserve">The Competition Tribunal has today released its decision in respect of Standard Bank’s application to get the record of the Commission’s investigation </w:t>
      </w:r>
      <w:r w:rsidR="00651428">
        <w:t>in the pending case against eighteen banks alleging collusion over the rand dollar currencies trade</w:t>
      </w:r>
      <w:r w:rsidR="001D3226">
        <w:t>s</w:t>
      </w:r>
      <w:r w:rsidR="00651428">
        <w:t xml:space="preserve"> brought earlier this year the so called Forex case.</w:t>
      </w:r>
    </w:p>
    <w:p w:rsidR="003C699F" w:rsidRDefault="003C699F" w:rsidP="0027409B">
      <w:pPr>
        <w:jc w:val="both"/>
      </w:pPr>
      <w:r>
        <w:t xml:space="preserve">The Tribunal </w:t>
      </w:r>
      <w:r w:rsidR="00EE371B">
        <w:t xml:space="preserve">said it </w:t>
      </w:r>
      <w:r>
        <w:t>would not order the immediate production of the</w:t>
      </w:r>
      <w:r w:rsidR="00C3495A">
        <w:t xml:space="preserve"> record</w:t>
      </w:r>
      <w:r w:rsidR="00EE371B">
        <w:t xml:space="preserve"> as Standard Bank was not yet entitled to it. </w:t>
      </w:r>
      <w:r>
        <w:t xml:space="preserve"> </w:t>
      </w:r>
    </w:p>
    <w:p w:rsidR="00DA7791" w:rsidRDefault="003C699F" w:rsidP="0027409B">
      <w:pPr>
        <w:jc w:val="both"/>
      </w:pPr>
      <w:r>
        <w:t xml:space="preserve">The </w:t>
      </w:r>
      <w:r w:rsidR="00DA7791">
        <w:t>case</w:t>
      </w:r>
      <w:r w:rsidR="00EE371B">
        <w:t xml:space="preserve"> was heard</w:t>
      </w:r>
      <w:r w:rsidR="00DA7791">
        <w:t xml:space="preserve"> on 18 September 2017.</w:t>
      </w:r>
    </w:p>
    <w:p w:rsidR="00651428" w:rsidRDefault="00651428" w:rsidP="0027409B">
      <w:pPr>
        <w:jc w:val="both"/>
      </w:pPr>
      <w:r>
        <w:t>Standard Bank brought the present application separately from the Forex case</w:t>
      </w:r>
      <w:r w:rsidR="00DA7791">
        <w:t>,</w:t>
      </w:r>
      <w:r>
        <w:t xml:space="preserve"> relying on a rule in the Commission’s rules of procedure that allow</w:t>
      </w:r>
      <w:r w:rsidR="00DA7791">
        <w:t>s</w:t>
      </w:r>
      <w:r>
        <w:t xml:space="preserve"> an</w:t>
      </w:r>
      <w:r w:rsidR="00DA7791">
        <w:t>y</w:t>
      </w:r>
      <w:r>
        <w:t xml:space="preserve"> person to have access to the Commission’s record of investigation once the case has been referred.</w:t>
      </w:r>
    </w:p>
    <w:p w:rsidR="00651428" w:rsidRDefault="00651428" w:rsidP="0027409B">
      <w:pPr>
        <w:jc w:val="both"/>
      </w:pPr>
      <w:r>
        <w:t>The Commission had refused to produce the record to Standard</w:t>
      </w:r>
      <w:r w:rsidR="00EE371B">
        <w:t xml:space="preserve"> Bank</w:t>
      </w:r>
      <w:r>
        <w:t xml:space="preserve"> arguing that as it was a litigant in the Forex case it was not entitled to the record yet.</w:t>
      </w:r>
    </w:p>
    <w:p w:rsidR="00651428" w:rsidRDefault="00651428" w:rsidP="0027409B">
      <w:pPr>
        <w:jc w:val="both"/>
      </w:pPr>
      <w:r>
        <w:t>Standard</w:t>
      </w:r>
      <w:r w:rsidR="003C699F">
        <w:t xml:space="preserve"> Bank</w:t>
      </w:r>
      <w:r>
        <w:t xml:space="preserve"> then brought the application to seek an order to compel production of the </w:t>
      </w:r>
      <w:r w:rsidR="00DA7791">
        <w:t>record</w:t>
      </w:r>
      <w:r>
        <w:t xml:space="preserve"> within 5 days of the order being granted.</w:t>
      </w:r>
    </w:p>
    <w:p w:rsidR="00651428" w:rsidRDefault="00651428" w:rsidP="0027409B">
      <w:pPr>
        <w:jc w:val="both"/>
      </w:pPr>
      <w:r>
        <w:t>The Commission opposed the application on a procedural ground arguing that the case should have been brought by way of a review of its decision to refuse the record and not an application to compel.</w:t>
      </w:r>
    </w:p>
    <w:p w:rsidR="00651428" w:rsidRDefault="00651428" w:rsidP="0027409B">
      <w:pPr>
        <w:jc w:val="both"/>
      </w:pPr>
      <w:r>
        <w:t>The Tribunal dismissed the Commi</w:t>
      </w:r>
      <w:r w:rsidR="00DA7791">
        <w:t>s</w:t>
      </w:r>
      <w:r>
        <w:t>sion’s procedural objection however it also decided not to order immediate production of the record.</w:t>
      </w:r>
    </w:p>
    <w:p w:rsidR="00651428" w:rsidRDefault="00651428" w:rsidP="0027409B">
      <w:pPr>
        <w:jc w:val="both"/>
      </w:pPr>
      <w:r>
        <w:t>The Tribunal held that under the access rule</w:t>
      </w:r>
      <w:r w:rsidR="001D3226">
        <w:t xml:space="preserve"> which provides no specified time frame for production,</w:t>
      </w:r>
      <w:r>
        <w:t xml:space="preserve"> production had to be made </w:t>
      </w:r>
      <w:r w:rsidR="001D3226">
        <w:t>with</w:t>
      </w:r>
      <w:r>
        <w:t xml:space="preserve">in a reasonable time. On the facts of the present </w:t>
      </w:r>
      <w:r w:rsidR="001D3226">
        <w:t xml:space="preserve">Forex </w:t>
      </w:r>
      <w:r>
        <w:t>case</w:t>
      </w:r>
      <w:r w:rsidR="001D3226">
        <w:t>,</w:t>
      </w:r>
      <w:r>
        <w:t xml:space="preserve"> given the length of the record, the </w:t>
      </w:r>
      <w:r w:rsidR="00DA7791">
        <w:t>extent of confidential information</w:t>
      </w:r>
      <w:r w:rsidR="001D3226">
        <w:t xml:space="preserve"> in it,</w:t>
      </w:r>
      <w:r w:rsidR="00DA7791">
        <w:t xml:space="preserve"> and the burden it would place on the Commission</w:t>
      </w:r>
      <w:r w:rsidR="001D3226">
        <w:t xml:space="preserve"> in preparing it,</w:t>
      </w:r>
      <w:r w:rsidR="00DA7791">
        <w:t xml:space="preserve"> a reasonable time for production would be at the same time as discovery is made in the Forex case.</w:t>
      </w:r>
      <w:r w:rsidR="003C699F">
        <w:t xml:space="preserve"> (See note below)</w:t>
      </w:r>
    </w:p>
    <w:p w:rsidR="00625B56" w:rsidRDefault="00625B56" w:rsidP="001D5078">
      <w:pPr>
        <w:shd w:val="clear" w:color="auto" w:fill="FFFFFF" w:themeFill="background1"/>
        <w:jc w:val="both"/>
      </w:pPr>
      <w:r w:rsidRPr="001D5078">
        <w:t>The Tribunal also held that a person could seek earlier production of the record if it provided a good reason for this. In the present case</w:t>
      </w:r>
      <w:r w:rsidR="004042EC" w:rsidRPr="001D5078">
        <w:t>,</w:t>
      </w:r>
      <w:r w:rsidRPr="001D5078">
        <w:t xml:space="preserve"> Standard Bank although asked by the Commission</w:t>
      </w:r>
      <w:r w:rsidR="004042EC" w:rsidRPr="001D5078">
        <w:t xml:space="preserve"> to provide reasons </w:t>
      </w:r>
      <w:r w:rsidRPr="001D5078">
        <w:t>had not done so.</w:t>
      </w:r>
    </w:p>
    <w:p w:rsidR="00625B56" w:rsidRDefault="00DA7791" w:rsidP="0027409B">
      <w:pPr>
        <w:jc w:val="both"/>
      </w:pPr>
      <w:r>
        <w:t>[</w:t>
      </w:r>
      <w:r w:rsidRPr="00434C2D">
        <w:rPr>
          <w:b/>
        </w:rPr>
        <w:t>Note</w:t>
      </w:r>
      <w:r w:rsidR="001D3226" w:rsidRPr="00434C2D">
        <w:rPr>
          <w:b/>
        </w:rPr>
        <w:t xml:space="preserve"> to journalists:</w:t>
      </w:r>
      <w:r w:rsidR="001D3226">
        <w:t xml:space="preserve"> I</w:t>
      </w:r>
      <w:r>
        <w:t>n the Forex case none of</w:t>
      </w:r>
      <w:r w:rsidR="001D3226">
        <w:t xml:space="preserve"> the fourteen</w:t>
      </w:r>
      <w:r>
        <w:t xml:space="preserve"> respondent banks</w:t>
      </w:r>
      <w:r w:rsidR="001D3226">
        <w:t>,</w:t>
      </w:r>
      <w:r>
        <w:t xml:space="preserve"> who are contesting the case</w:t>
      </w:r>
      <w:r w:rsidR="001D3226">
        <w:t>,</w:t>
      </w:r>
      <w:r>
        <w:t xml:space="preserve"> have filed their answering affidavits. This is because the Tribunal still has to hear certain objections</w:t>
      </w:r>
      <w:r w:rsidR="001D3226">
        <w:t xml:space="preserve"> they have brought </w:t>
      </w:r>
      <w:r>
        <w:t xml:space="preserve">to the </w:t>
      </w:r>
      <w:r w:rsidR="001D3226">
        <w:t xml:space="preserve">Commission’s </w:t>
      </w:r>
      <w:r>
        <w:t>referral</w:t>
      </w:r>
      <w:r w:rsidR="001D3226">
        <w:t>,</w:t>
      </w:r>
      <w:r>
        <w:t xml:space="preserve"> based, inter alia, on whether the Tribunal has jurisdiction over the Banks and whether the referral contains sufficient specificity.</w:t>
      </w:r>
      <w:r w:rsidR="001D3226">
        <w:t xml:space="preserve"> These objections will only be heard next year from 24 to 26</w:t>
      </w:r>
      <w:r w:rsidR="001D3226" w:rsidRPr="001D3226">
        <w:rPr>
          <w:vertAlign w:val="superscript"/>
        </w:rPr>
        <w:t>th</w:t>
      </w:r>
      <w:r w:rsidR="001D3226">
        <w:t xml:space="preserve"> January</w:t>
      </w:r>
      <w:r w:rsidR="00625B56">
        <w:t>.</w:t>
      </w:r>
      <w:r w:rsidR="001D3226">
        <w:t xml:space="preserve"> </w:t>
      </w:r>
    </w:p>
    <w:p w:rsidR="00DA7791" w:rsidRDefault="001D3226" w:rsidP="0027409B">
      <w:pPr>
        <w:jc w:val="both"/>
      </w:pPr>
      <w:r>
        <w:t>Note further, that in Tribunal cases discovery of a record typically takes place after pleadings have closed i.e., after the respondents have filed their answers and the Commission has been given an opportunity to file a reply in response</w:t>
      </w:r>
      <w:r w:rsidR="00625B56">
        <w:t>.</w:t>
      </w:r>
      <w:r w:rsidR="00DA7791">
        <w:t>]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lang w:eastAsia="en-ZA"/>
        </w:rPr>
      </w:pPr>
      <w:r w:rsidRPr="00EE371B">
        <w:rPr>
          <w:rFonts w:cs="Arial"/>
          <w:color w:val="000000"/>
          <w:lang w:eastAsia="en-ZA"/>
        </w:rPr>
        <w:t xml:space="preserve">Issued by: 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color w:val="000000"/>
          <w:lang w:eastAsia="en-ZA"/>
        </w:rPr>
      </w:pPr>
      <w:r w:rsidRPr="00EE371B">
        <w:rPr>
          <w:rFonts w:cs="Arial"/>
          <w:color w:val="000000"/>
          <w:lang w:eastAsia="en-ZA"/>
        </w:rPr>
        <w:t xml:space="preserve">Chantelle Benjamin 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color w:val="000000"/>
          <w:lang w:eastAsia="en-ZA"/>
        </w:rPr>
      </w:pPr>
      <w:r w:rsidRPr="00EE371B">
        <w:rPr>
          <w:rFonts w:cs="Arial"/>
          <w:color w:val="000000"/>
          <w:lang w:eastAsia="en-ZA"/>
        </w:rPr>
        <w:t>Communications: Competition Tribunal   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color w:val="000000"/>
          <w:lang w:eastAsia="en-ZA"/>
        </w:rPr>
      </w:pPr>
      <w:r w:rsidRPr="00EE371B">
        <w:rPr>
          <w:rFonts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color w:val="000000"/>
          <w:lang w:eastAsia="en-ZA"/>
        </w:rPr>
      </w:pPr>
      <w:r w:rsidRPr="00EE371B">
        <w:rPr>
          <w:rFonts w:cs="Arial"/>
          <w:color w:val="000000"/>
          <w:lang w:eastAsia="en-ZA"/>
        </w:rPr>
        <w:t>Cell: +27 (0) 73 007 5603  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lang w:eastAsia="en-ZA"/>
        </w:rPr>
      </w:pPr>
      <w:r w:rsidRPr="00EE371B">
        <w:rPr>
          <w:rFonts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</w:rPr>
      </w:pPr>
      <w:r w:rsidRPr="00EE371B">
        <w:rPr>
          <w:rFonts w:cs="Arial"/>
          <w:color w:val="000000"/>
          <w:lang w:eastAsia="en-ZA"/>
        </w:rPr>
        <w:t xml:space="preserve">E-Mail: </w:t>
      </w:r>
      <w:hyperlink r:id="rId5" w:history="1">
        <w:r w:rsidRPr="00EE371B">
          <w:rPr>
            <w:rFonts w:cs="Arial"/>
            <w:color w:val="0000FF"/>
            <w:u w:val="single"/>
            <w:lang w:eastAsia="en-ZA"/>
          </w:rPr>
          <w:t>chantelleb@comptrib.co.za</w:t>
        </w:r>
      </w:hyperlink>
      <w:r w:rsidRPr="00EE371B">
        <w:rPr>
          <w:rFonts w:cs="Arial"/>
        </w:rPr>
        <w:t xml:space="preserve"> 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color w:val="000000"/>
        </w:rPr>
      </w:pP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color w:val="000000"/>
        </w:rPr>
      </w:pP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lang w:eastAsia="en-ZA"/>
        </w:rPr>
      </w:pPr>
      <w:r w:rsidRPr="00EE371B">
        <w:rPr>
          <w:rFonts w:cs="Arial"/>
          <w:color w:val="000000"/>
          <w:lang w:eastAsia="en-ZA"/>
        </w:rPr>
        <w:t>On Behalf Of: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lang w:eastAsia="en-ZA"/>
        </w:rPr>
      </w:pPr>
      <w:r w:rsidRPr="00EE371B">
        <w:rPr>
          <w:rFonts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lang w:eastAsia="en-ZA"/>
        </w:rPr>
      </w:pPr>
      <w:r w:rsidRPr="00EE371B">
        <w:rPr>
          <w:rFonts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lang w:eastAsia="en-ZA"/>
        </w:rPr>
      </w:pPr>
      <w:r w:rsidRPr="00EE371B">
        <w:rPr>
          <w:rFonts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  <w:lang w:eastAsia="en-ZA"/>
        </w:rPr>
      </w:pPr>
      <w:r w:rsidRPr="00EE371B">
        <w:rPr>
          <w:rFonts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EE371B" w:rsidRPr="00EE371B" w:rsidRDefault="00EE371B" w:rsidP="00EE371B">
      <w:pPr>
        <w:spacing w:after="0"/>
        <w:ind w:left="567" w:right="567"/>
        <w:jc w:val="both"/>
        <w:rPr>
          <w:rFonts w:cs="Arial"/>
        </w:rPr>
      </w:pPr>
      <w:r w:rsidRPr="00EE371B">
        <w:rPr>
          <w:rFonts w:cs="Arial"/>
          <w:color w:val="000000"/>
          <w:lang w:eastAsia="en-ZA"/>
        </w:rPr>
        <w:t xml:space="preserve">E-Mail: </w:t>
      </w:r>
      <w:hyperlink r:id="rId6" w:history="1">
        <w:r w:rsidRPr="00EE371B">
          <w:rPr>
            <w:rFonts w:cs="Arial"/>
            <w:color w:val="0000FF"/>
            <w:u w:val="single"/>
            <w:lang w:eastAsia="en-ZA"/>
          </w:rPr>
          <w:t>LeratoM@comptrib.co.za</w:t>
        </w:r>
      </w:hyperlink>
    </w:p>
    <w:p w:rsidR="00EE371B" w:rsidRDefault="00EE371B" w:rsidP="0027409B">
      <w:pPr>
        <w:jc w:val="both"/>
      </w:pPr>
    </w:p>
    <w:p w:rsidR="00651428" w:rsidRDefault="00651428" w:rsidP="0027409B">
      <w:pPr>
        <w:jc w:val="both"/>
      </w:pPr>
      <w:r>
        <w:t xml:space="preserve"> </w:t>
      </w:r>
    </w:p>
    <w:sectPr w:rsidR="00651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07"/>
    <w:rsid w:val="000534AA"/>
    <w:rsid w:val="000B2BCE"/>
    <w:rsid w:val="001D3226"/>
    <w:rsid w:val="001D5078"/>
    <w:rsid w:val="002736BA"/>
    <w:rsid w:val="0027409B"/>
    <w:rsid w:val="003C699F"/>
    <w:rsid w:val="00400062"/>
    <w:rsid w:val="004042EC"/>
    <w:rsid w:val="00434C2D"/>
    <w:rsid w:val="00475BE0"/>
    <w:rsid w:val="00625B56"/>
    <w:rsid w:val="00651428"/>
    <w:rsid w:val="008E0C5A"/>
    <w:rsid w:val="00966242"/>
    <w:rsid w:val="00B80F07"/>
    <w:rsid w:val="00B87B34"/>
    <w:rsid w:val="00BA7A40"/>
    <w:rsid w:val="00C3495A"/>
    <w:rsid w:val="00DA7791"/>
    <w:rsid w:val="00EC1606"/>
    <w:rsid w:val="00E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17405-03A3-40EB-9FF3-1CEC72D3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AlistairV\AppData\Local\Microsoft\Windows\Temporary%20Internet%20Files\Content.Outlook\HMBET88G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Aneesa Ravat</dc:creator>
  <cp:keywords/>
  <dc:description/>
  <cp:lastModifiedBy>Chantelle Benjamin</cp:lastModifiedBy>
  <cp:revision>3</cp:revision>
  <cp:lastPrinted>2017-11-06T11:33:00Z</cp:lastPrinted>
  <dcterms:created xsi:type="dcterms:W3CDTF">2017-11-06T11:59:00Z</dcterms:created>
  <dcterms:modified xsi:type="dcterms:W3CDTF">2017-11-06T11:59:00Z</dcterms:modified>
</cp:coreProperties>
</file>