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55A4" w:rsidRDefault="000355A4" w:rsidP="000355A4">
      <w:pPr>
        <w:jc w:val="center"/>
      </w:pPr>
      <w:r>
        <w:rPr>
          <w:rFonts w:ascii="Arial" w:hAnsi="Arial" w:cs="Arial"/>
          <w:b/>
          <w:noProof/>
        </w:rPr>
        <w:drawing>
          <wp:inline distT="0" distB="0" distL="0" distR="0" wp14:anchorId="377DEA0F" wp14:editId="74890A94">
            <wp:extent cx="1083945" cy="733425"/>
            <wp:effectExtent l="0" t="0" r="190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_.jpg"/>
                    <pic:cNvPicPr/>
                  </pic:nvPicPr>
                  <pic:blipFill>
                    <a:blip r:embed="rId4">
                      <a:extLst>
                        <a:ext uri="{28A0092B-C50C-407E-A947-70E740481C1C}">
                          <a14:useLocalDpi xmlns:a14="http://schemas.microsoft.com/office/drawing/2010/main" val="0"/>
                        </a:ext>
                      </a:extLst>
                    </a:blip>
                    <a:stretch>
                      <a:fillRect/>
                    </a:stretch>
                  </pic:blipFill>
                  <pic:spPr>
                    <a:xfrm>
                      <a:off x="0" y="0"/>
                      <a:ext cx="1091431" cy="738490"/>
                    </a:xfrm>
                    <a:prstGeom prst="rect">
                      <a:avLst/>
                    </a:prstGeom>
                  </pic:spPr>
                </pic:pic>
              </a:graphicData>
            </a:graphic>
          </wp:inline>
        </w:drawing>
      </w:r>
    </w:p>
    <w:p w:rsidR="000355A4" w:rsidRDefault="000355A4" w:rsidP="000E5FF2">
      <w:pPr>
        <w:jc w:val="right"/>
      </w:pPr>
    </w:p>
    <w:p w:rsidR="000E5FF2" w:rsidRDefault="000E5FF2" w:rsidP="000E5FF2">
      <w:pPr>
        <w:jc w:val="right"/>
      </w:pPr>
      <w:r>
        <w:t>Wednesday, 10</w:t>
      </w:r>
      <w:r w:rsidR="004E36D3">
        <w:t xml:space="preserve"> </w:t>
      </w:r>
      <w:r>
        <w:t>August</w:t>
      </w:r>
    </w:p>
    <w:p w:rsidR="000355A4" w:rsidRPr="000355A4" w:rsidRDefault="000355A4" w:rsidP="000355A4">
      <w:pPr>
        <w:rPr>
          <w:b/>
        </w:rPr>
      </w:pPr>
      <w:r w:rsidRPr="000355A4">
        <w:rPr>
          <w:b/>
        </w:rPr>
        <w:t>The Tribunal approves</w:t>
      </w:r>
      <w:r w:rsidR="00434ABC">
        <w:rPr>
          <w:b/>
        </w:rPr>
        <w:t xml:space="preserve"> the</w:t>
      </w:r>
      <w:r w:rsidRPr="000355A4">
        <w:rPr>
          <w:b/>
        </w:rPr>
        <w:t xml:space="preserve"> merger Southern Sun Hotel and Hospitality Property with conditions</w:t>
      </w:r>
    </w:p>
    <w:p w:rsidR="003E6D12" w:rsidRDefault="000E5FF2">
      <w:r>
        <w:t xml:space="preserve">The Competition Tribunal </w:t>
      </w:r>
      <w:r w:rsidR="004E36D3">
        <w:t>today</w:t>
      </w:r>
      <w:r>
        <w:t xml:space="preserve"> approved the large merger between Southern Sun Hote</w:t>
      </w:r>
      <w:r w:rsidR="004E36D3">
        <w:t>ls and the Hospital</w:t>
      </w:r>
      <w:r w:rsidR="00CD3F21">
        <w:t xml:space="preserve">ity Property Fund Ltd, subject to conditions related to potential information exchange. </w:t>
      </w:r>
      <w:r w:rsidR="004E36D3">
        <w:t xml:space="preserve"> </w:t>
      </w:r>
    </w:p>
    <w:p w:rsidR="004E36D3" w:rsidRDefault="004E36D3" w:rsidP="004E36D3">
      <w:r>
        <w:t xml:space="preserve">Southern Sun Hotels, which is owned by </w:t>
      </w:r>
      <w:proofErr w:type="spellStart"/>
      <w:r>
        <w:t>Tsogo</w:t>
      </w:r>
      <w:proofErr w:type="spellEnd"/>
      <w:r>
        <w:t xml:space="preserve"> Sun Holdings Limited, operates various hotels throughout South Africa under several brand names, including Southern Sun, Garden Court, </w:t>
      </w:r>
      <w:proofErr w:type="spellStart"/>
      <w:r>
        <w:t>SunSquare</w:t>
      </w:r>
      <w:proofErr w:type="spellEnd"/>
      <w:r>
        <w:t xml:space="preserve"> and Sun1. </w:t>
      </w:r>
    </w:p>
    <w:p w:rsidR="004E36D3" w:rsidRDefault="004E36D3" w:rsidP="004E36D3">
      <w:r>
        <w:t>Hospitality Property Fund is a Real Estate Investment Trust which owns hotel properties and provides leasing services to third party hotel operators.</w:t>
      </w:r>
    </w:p>
    <w:p w:rsidR="004E36D3" w:rsidRDefault="00CD3F21" w:rsidP="004E36D3">
      <w:r>
        <w:t>While t</w:t>
      </w:r>
      <w:r w:rsidR="004E36D3">
        <w:t>he Commission found that in various geographic areas</w:t>
      </w:r>
      <w:r>
        <w:t xml:space="preserve"> the merging parties would</w:t>
      </w:r>
      <w:r w:rsidR="004E36D3">
        <w:t xml:space="preserve"> continue to face competition, </w:t>
      </w:r>
      <w:r>
        <w:t xml:space="preserve">it was </w:t>
      </w:r>
      <w:r w:rsidR="004E36D3">
        <w:t>concerned that since the Hospitality Property Fund leases hotel properties to Southern Sun Hotels competitors, the merged entity had the ability to</w:t>
      </w:r>
      <w:r>
        <w:t xml:space="preserve"> potentially</w:t>
      </w:r>
      <w:r w:rsidR="004E36D3">
        <w:t xml:space="preserve"> exclude competitors by not renewing their lease agreements and share sensitive</w:t>
      </w:r>
      <w:r>
        <w:t xml:space="preserve"> competitive</w:t>
      </w:r>
      <w:r w:rsidR="004E36D3">
        <w:t xml:space="preserve"> information.</w:t>
      </w:r>
    </w:p>
    <w:p w:rsidR="004E36D3" w:rsidRDefault="004E36D3" w:rsidP="004E36D3">
      <w:r>
        <w:t xml:space="preserve">The merger was approved subject to a number of conditions including that the merging parties ensure that the </w:t>
      </w:r>
      <w:r w:rsidR="00CD3F21">
        <w:t xml:space="preserve">Hospitality Property Fund </w:t>
      </w:r>
      <w:r>
        <w:t>has its own executive management team, which will be responsible for da</w:t>
      </w:r>
      <w:r w:rsidR="00CD3F21">
        <w:t xml:space="preserve">y to day operations of the HPF. </w:t>
      </w:r>
      <w:r>
        <w:t>The team will not include anyone who is involved in management in any capacity at Southern Sun.</w:t>
      </w:r>
    </w:p>
    <w:p w:rsidR="004E36D3" w:rsidRDefault="004E36D3" w:rsidP="004E36D3">
      <w:r>
        <w:t>Any directors appointed to the board of Hospitality Property Fund</w:t>
      </w:r>
      <w:r w:rsidR="009A5194">
        <w:t xml:space="preserve"> will comply with their fiduciary duties in respect of the Fund and not disclose any information relating to any hotels leased from the Hospitality Property Fund by third parties to employees of Southern Sun. </w:t>
      </w:r>
    </w:p>
    <w:p w:rsidR="009A5194" w:rsidRDefault="009A5194" w:rsidP="004E36D3">
      <w:r>
        <w:t>The merging parties are required to submit a copy of the conditions to third party operators and send a copy of the confidentiality and information exchange policy to the Commis</w:t>
      </w:r>
      <w:r w:rsidR="00CD3F21">
        <w:t>sion. Southern Sun is required f</w:t>
      </w:r>
      <w:r>
        <w:t>or a period of three years from the approval date t</w:t>
      </w:r>
      <w:r w:rsidR="00CD3F21">
        <w:t>o notify the Commission of the termination of any</w:t>
      </w:r>
      <w:r>
        <w:t xml:space="preserve"> change of the third party operators at a specific Hospitality Property Fund hotel. </w:t>
      </w:r>
    </w:p>
    <w:p w:rsidR="000355A4" w:rsidRDefault="000355A4" w:rsidP="004E36D3"/>
    <w:p w:rsidR="000355A4" w:rsidRPr="000355A4" w:rsidRDefault="000355A4" w:rsidP="000355A4">
      <w:pPr>
        <w:spacing w:after="0" w:line="240" w:lineRule="auto"/>
        <w:jc w:val="both"/>
        <w:rPr>
          <w:rFonts w:cs="Arial"/>
          <w:lang w:eastAsia="en-ZA"/>
        </w:rPr>
      </w:pPr>
      <w:r w:rsidRPr="000355A4">
        <w:rPr>
          <w:rFonts w:cs="Arial"/>
          <w:color w:val="000000"/>
          <w:lang w:eastAsia="en-ZA"/>
        </w:rPr>
        <w:t xml:space="preserve">Issued by: </w:t>
      </w:r>
    </w:p>
    <w:p w:rsidR="000355A4" w:rsidRPr="000355A4" w:rsidRDefault="000355A4" w:rsidP="000355A4">
      <w:pPr>
        <w:spacing w:after="0" w:line="240" w:lineRule="auto"/>
        <w:jc w:val="both"/>
        <w:rPr>
          <w:rFonts w:cs="Arial"/>
          <w:color w:val="000000"/>
          <w:lang w:eastAsia="en-ZA"/>
        </w:rPr>
      </w:pPr>
      <w:r w:rsidRPr="000355A4">
        <w:rPr>
          <w:rFonts w:cs="Arial"/>
          <w:color w:val="000000"/>
          <w:lang w:eastAsia="en-ZA"/>
        </w:rPr>
        <w:t xml:space="preserve">Chantelle Benjamin </w:t>
      </w:r>
    </w:p>
    <w:p w:rsidR="000355A4" w:rsidRPr="000355A4" w:rsidRDefault="000355A4" w:rsidP="000355A4">
      <w:pPr>
        <w:spacing w:after="0" w:line="240" w:lineRule="auto"/>
        <w:jc w:val="both"/>
        <w:rPr>
          <w:rFonts w:cs="Arial"/>
          <w:color w:val="000000"/>
          <w:lang w:eastAsia="en-ZA"/>
        </w:rPr>
      </w:pPr>
      <w:r w:rsidRPr="000355A4">
        <w:rPr>
          <w:rFonts w:cs="Arial"/>
          <w:color w:val="000000"/>
          <w:lang w:eastAsia="en-ZA"/>
        </w:rPr>
        <w:t>Communications: Competition Tribunal   </w:t>
      </w:r>
    </w:p>
    <w:p w:rsidR="000355A4" w:rsidRPr="000355A4" w:rsidRDefault="000355A4" w:rsidP="000355A4">
      <w:pPr>
        <w:spacing w:after="0" w:line="240" w:lineRule="auto"/>
        <w:jc w:val="both"/>
        <w:rPr>
          <w:rFonts w:cs="Arial"/>
          <w:color w:val="000000"/>
          <w:lang w:eastAsia="en-ZA"/>
        </w:rPr>
      </w:pPr>
      <w:r w:rsidRPr="000355A4">
        <w:rPr>
          <w:rFonts w:cs="Arial"/>
          <w:color w:val="000000"/>
          <w:lang w:eastAsia="en-ZA"/>
        </w:rPr>
        <w:t xml:space="preserve">Tel (012)394 1383                                      </w:t>
      </w:r>
    </w:p>
    <w:p w:rsidR="000355A4" w:rsidRPr="000355A4" w:rsidRDefault="000355A4" w:rsidP="000355A4">
      <w:pPr>
        <w:spacing w:after="0" w:line="240" w:lineRule="auto"/>
        <w:jc w:val="both"/>
        <w:rPr>
          <w:rFonts w:cs="Arial"/>
          <w:color w:val="000000"/>
          <w:lang w:eastAsia="en-ZA"/>
        </w:rPr>
      </w:pPr>
      <w:r w:rsidRPr="000355A4">
        <w:rPr>
          <w:rFonts w:cs="Arial"/>
          <w:color w:val="000000"/>
          <w:lang w:eastAsia="en-ZA"/>
        </w:rPr>
        <w:t>Cell: +27 (0) 73 007 5603  </w:t>
      </w:r>
    </w:p>
    <w:p w:rsidR="000355A4" w:rsidRPr="000355A4" w:rsidRDefault="000355A4" w:rsidP="000355A4">
      <w:pPr>
        <w:spacing w:after="0" w:line="240" w:lineRule="auto"/>
        <w:jc w:val="both"/>
        <w:rPr>
          <w:rFonts w:cs="Arial"/>
          <w:lang w:eastAsia="en-ZA"/>
        </w:rPr>
      </w:pPr>
      <w:r w:rsidRPr="000355A4">
        <w:rPr>
          <w:rFonts w:cs="Arial"/>
          <w:color w:val="000000"/>
          <w:lang w:eastAsia="en-ZA"/>
        </w:rPr>
        <w:t xml:space="preserve">Twitter: @comptrib                                        </w:t>
      </w:r>
    </w:p>
    <w:p w:rsidR="000355A4" w:rsidRPr="000355A4" w:rsidRDefault="000355A4" w:rsidP="000355A4">
      <w:pPr>
        <w:spacing w:after="0" w:line="240" w:lineRule="auto"/>
        <w:jc w:val="both"/>
        <w:rPr>
          <w:rFonts w:cs="Arial"/>
        </w:rPr>
      </w:pPr>
      <w:r w:rsidRPr="000355A4">
        <w:rPr>
          <w:rFonts w:cs="Arial"/>
          <w:color w:val="000000"/>
          <w:lang w:eastAsia="en-ZA"/>
        </w:rPr>
        <w:t xml:space="preserve">E-Mail: </w:t>
      </w:r>
      <w:hyperlink r:id="rId5" w:history="1">
        <w:r w:rsidRPr="000355A4">
          <w:rPr>
            <w:rStyle w:val="Hyperlink"/>
            <w:rFonts w:cs="Arial"/>
            <w:lang w:eastAsia="en-ZA"/>
          </w:rPr>
          <w:t>chantelleb@comptrib.co.za</w:t>
        </w:r>
      </w:hyperlink>
      <w:r w:rsidRPr="000355A4">
        <w:rPr>
          <w:rFonts w:cs="Arial"/>
        </w:rPr>
        <w:t xml:space="preserve"> </w:t>
      </w:r>
    </w:p>
    <w:p w:rsidR="000355A4" w:rsidRPr="000355A4" w:rsidRDefault="000355A4" w:rsidP="000355A4">
      <w:pPr>
        <w:spacing w:after="0" w:line="240" w:lineRule="auto"/>
        <w:jc w:val="both"/>
        <w:rPr>
          <w:rFonts w:cs="Arial"/>
          <w:color w:val="000000"/>
        </w:rPr>
      </w:pPr>
    </w:p>
    <w:p w:rsidR="000355A4" w:rsidRPr="000355A4" w:rsidRDefault="000355A4" w:rsidP="000355A4">
      <w:pPr>
        <w:spacing w:after="0" w:line="240" w:lineRule="auto"/>
        <w:jc w:val="both"/>
        <w:rPr>
          <w:rFonts w:cs="Arial"/>
          <w:color w:val="000000"/>
        </w:rPr>
      </w:pPr>
    </w:p>
    <w:p w:rsidR="000355A4" w:rsidRPr="000355A4" w:rsidRDefault="000355A4" w:rsidP="000355A4">
      <w:pPr>
        <w:spacing w:after="0" w:line="240" w:lineRule="auto"/>
        <w:jc w:val="both"/>
        <w:rPr>
          <w:rFonts w:cs="Arial"/>
          <w:lang w:eastAsia="en-ZA"/>
        </w:rPr>
      </w:pPr>
      <w:r w:rsidRPr="000355A4">
        <w:rPr>
          <w:rFonts w:cs="Arial"/>
          <w:color w:val="000000"/>
          <w:lang w:eastAsia="en-ZA"/>
        </w:rPr>
        <w:t>On Behalf Of:</w:t>
      </w:r>
    </w:p>
    <w:p w:rsidR="000355A4" w:rsidRPr="000355A4" w:rsidRDefault="000355A4" w:rsidP="000355A4">
      <w:pPr>
        <w:spacing w:after="0" w:line="240" w:lineRule="auto"/>
        <w:jc w:val="both"/>
        <w:rPr>
          <w:rFonts w:cs="Arial"/>
          <w:lang w:eastAsia="en-ZA"/>
        </w:rPr>
      </w:pPr>
      <w:r w:rsidRPr="000355A4">
        <w:rPr>
          <w:rFonts w:cs="Arial"/>
          <w:color w:val="000000"/>
          <w:lang w:eastAsia="en-ZA"/>
        </w:rPr>
        <w:t>Lerato Motaung                                                   </w:t>
      </w:r>
    </w:p>
    <w:p w:rsidR="000355A4" w:rsidRPr="000355A4" w:rsidRDefault="000355A4" w:rsidP="000355A4">
      <w:pPr>
        <w:spacing w:after="0" w:line="240" w:lineRule="auto"/>
        <w:jc w:val="both"/>
        <w:rPr>
          <w:rFonts w:cs="Arial"/>
          <w:lang w:eastAsia="en-ZA"/>
        </w:rPr>
      </w:pPr>
      <w:r w:rsidRPr="000355A4">
        <w:rPr>
          <w:rFonts w:cs="Arial"/>
          <w:color w:val="000000"/>
          <w:lang w:eastAsia="en-ZA"/>
        </w:rPr>
        <w:t xml:space="preserve">Registrar: Competition Tribunal                                         </w:t>
      </w:r>
    </w:p>
    <w:p w:rsidR="000355A4" w:rsidRPr="000355A4" w:rsidRDefault="000355A4" w:rsidP="000355A4">
      <w:pPr>
        <w:spacing w:after="0" w:line="240" w:lineRule="auto"/>
        <w:jc w:val="both"/>
        <w:rPr>
          <w:rFonts w:cs="Arial"/>
          <w:lang w:eastAsia="en-ZA"/>
        </w:rPr>
      </w:pPr>
      <w:r w:rsidRPr="000355A4">
        <w:rPr>
          <w:rFonts w:cs="Arial"/>
          <w:color w:val="000000"/>
          <w:lang w:eastAsia="en-ZA"/>
        </w:rPr>
        <w:t xml:space="preserve">Tel: (012) 394 3355                                              </w:t>
      </w:r>
    </w:p>
    <w:p w:rsidR="000355A4" w:rsidRPr="000355A4" w:rsidRDefault="000355A4" w:rsidP="000355A4">
      <w:pPr>
        <w:spacing w:after="0" w:line="240" w:lineRule="auto"/>
        <w:jc w:val="both"/>
        <w:rPr>
          <w:rFonts w:cs="Arial"/>
          <w:lang w:eastAsia="en-ZA"/>
        </w:rPr>
      </w:pPr>
      <w:r w:rsidRPr="000355A4">
        <w:rPr>
          <w:rFonts w:cs="Arial"/>
          <w:color w:val="000000"/>
          <w:lang w:eastAsia="en-ZA"/>
        </w:rPr>
        <w:t xml:space="preserve">Cell: +27 (0) 82 556 3221                                               </w:t>
      </w:r>
    </w:p>
    <w:p w:rsidR="000355A4" w:rsidRPr="000355A4" w:rsidRDefault="000355A4" w:rsidP="000355A4">
      <w:pPr>
        <w:spacing w:after="0" w:line="240" w:lineRule="auto"/>
        <w:jc w:val="both"/>
        <w:rPr>
          <w:rFonts w:cs="Arial"/>
        </w:rPr>
      </w:pPr>
      <w:r w:rsidRPr="000355A4">
        <w:rPr>
          <w:rFonts w:cs="Arial"/>
          <w:color w:val="000000"/>
          <w:lang w:eastAsia="en-ZA"/>
        </w:rPr>
        <w:t xml:space="preserve">E-Mail: </w:t>
      </w:r>
      <w:hyperlink r:id="rId6" w:history="1">
        <w:r w:rsidRPr="000355A4">
          <w:rPr>
            <w:rStyle w:val="Hyperlink"/>
            <w:rFonts w:cs="Arial"/>
            <w:lang w:eastAsia="en-ZA"/>
          </w:rPr>
          <w:t>LeratoM@comptrib.co.za</w:t>
        </w:r>
      </w:hyperlink>
    </w:p>
    <w:p w:rsidR="004E36D3" w:rsidRDefault="004E36D3" w:rsidP="004E36D3"/>
    <w:sectPr w:rsidR="004E36D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EB1"/>
    <w:rsid w:val="000355A4"/>
    <w:rsid w:val="000E5FF2"/>
    <w:rsid w:val="002A5A09"/>
    <w:rsid w:val="00434ABC"/>
    <w:rsid w:val="004755EC"/>
    <w:rsid w:val="004E36D3"/>
    <w:rsid w:val="00776EB1"/>
    <w:rsid w:val="009A5194"/>
    <w:rsid w:val="00CD3F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2FBCCE-304E-4F44-B89F-B8666BCF3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55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eratoM@comptrib.co.za" TargetMode="External"/><Relationship Id="rId5" Type="http://schemas.openxmlformats.org/officeDocument/2006/relationships/hyperlink" Target="chantelleb@comptrib.co.za%20"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405</Words>
  <Characters>2312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Chantelle Benjamin</dc:creator>
  <cp:keywords/>
  <dc:description/>
  <cp:lastModifiedBy>Chantelle Benjamin</cp:lastModifiedBy>
  <cp:revision>2</cp:revision>
  <dcterms:created xsi:type="dcterms:W3CDTF">2016-08-10T14:59:00Z</dcterms:created>
  <dcterms:modified xsi:type="dcterms:W3CDTF">2016-08-10T15:28:00Z</dcterms:modified>
</cp:coreProperties>
</file>