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DCF" w:rsidRDefault="00071DCF" w:rsidP="00071DCF">
      <w:pPr>
        <w:spacing w:after="0" w:line="240" w:lineRule="auto"/>
        <w:jc w:val="center"/>
        <w:rPr>
          <w:rFonts w:ascii="Arial" w:hAnsi="Arial" w:cs="Arial"/>
          <w:b/>
        </w:rPr>
      </w:pPr>
      <w:r>
        <w:rPr>
          <w:rFonts w:ascii="Arial" w:hAnsi="Arial" w:cs="Arial"/>
          <w:b/>
          <w:noProof/>
          <w:lang w:val="en-US"/>
        </w:rPr>
        <w:drawing>
          <wp:inline distT="0" distB="0" distL="0" distR="0" wp14:anchorId="70C3834E" wp14:editId="17912992">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071DCF" w:rsidRDefault="00071DCF" w:rsidP="00071DCF">
      <w:pPr>
        <w:spacing w:after="0" w:line="240" w:lineRule="auto"/>
        <w:jc w:val="center"/>
        <w:rPr>
          <w:rFonts w:ascii="Arial" w:hAnsi="Arial" w:cs="Arial"/>
          <w:b/>
        </w:rPr>
      </w:pPr>
    </w:p>
    <w:p w:rsidR="00071DCF" w:rsidRDefault="00071DCF" w:rsidP="00071DCF">
      <w:pPr>
        <w:spacing w:after="0" w:line="240" w:lineRule="auto"/>
        <w:jc w:val="right"/>
        <w:rPr>
          <w:rFonts w:ascii="Arial" w:hAnsi="Arial" w:cs="Arial"/>
          <w:color w:val="000000"/>
        </w:rPr>
      </w:pPr>
      <w:r>
        <w:rPr>
          <w:rFonts w:ascii="Arial" w:hAnsi="Arial" w:cs="Arial"/>
          <w:color w:val="000000"/>
        </w:rPr>
        <w:t xml:space="preserve">9 March, 2016 </w:t>
      </w:r>
    </w:p>
    <w:p w:rsidR="00071DCF" w:rsidRDefault="00071DCF" w:rsidP="00071DCF">
      <w:pPr>
        <w:spacing w:after="0" w:line="240" w:lineRule="auto"/>
        <w:jc w:val="both"/>
        <w:rPr>
          <w:rFonts w:ascii="Arial" w:hAnsi="Arial" w:cs="Arial"/>
          <w:color w:val="000000"/>
        </w:rPr>
      </w:pPr>
    </w:p>
    <w:p w:rsidR="00071DCF" w:rsidRDefault="00071DCF" w:rsidP="00071DCF">
      <w:pPr>
        <w:spacing w:after="0" w:line="240" w:lineRule="auto"/>
        <w:jc w:val="both"/>
        <w:rPr>
          <w:rFonts w:ascii="Arial" w:hAnsi="Arial" w:cs="Arial"/>
          <w:color w:val="000000"/>
        </w:rPr>
      </w:pPr>
    </w:p>
    <w:p w:rsidR="00071DCF" w:rsidRPr="002B0330" w:rsidRDefault="00071DCF" w:rsidP="00071DCF">
      <w:pPr>
        <w:spacing w:after="0" w:line="240" w:lineRule="auto"/>
        <w:jc w:val="both"/>
        <w:rPr>
          <w:rFonts w:ascii="Arial" w:hAnsi="Arial" w:cs="Arial"/>
          <w:b/>
          <w:color w:val="000000"/>
        </w:rPr>
      </w:pPr>
      <w:r w:rsidRPr="002B0330">
        <w:rPr>
          <w:rFonts w:ascii="Arial" w:hAnsi="Arial" w:cs="Arial"/>
          <w:b/>
          <w:color w:val="000000"/>
        </w:rPr>
        <w:t xml:space="preserve">Raumix </w:t>
      </w:r>
      <w:r>
        <w:rPr>
          <w:rFonts w:ascii="Arial" w:hAnsi="Arial" w:cs="Arial"/>
          <w:b/>
          <w:color w:val="000000"/>
        </w:rPr>
        <w:t xml:space="preserve">Aggregates </w:t>
      </w:r>
      <w:r w:rsidRPr="002B0330">
        <w:rPr>
          <w:rFonts w:ascii="Arial" w:hAnsi="Arial" w:cs="Arial"/>
          <w:b/>
          <w:color w:val="000000"/>
        </w:rPr>
        <w:t xml:space="preserve">merger approved by the Tribunal subject to conditions </w:t>
      </w:r>
    </w:p>
    <w:p w:rsidR="00071DCF" w:rsidRDefault="00071DCF" w:rsidP="00071DCF">
      <w:pPr>
        <w:spacing w:after="0" w:line="240" w:lineRule="auto"/>
        <w:jc w:val="both"/>
        <w:rPr>
          <w:rFonts w:ascii="Arial" w:hAnsi="Arial" w:cs="Arial"/>
          <w:color w:val="000000"/>
        </w:rPr>
      </w:pPr>
    </w:p>
    <w:p w:rsidR="00071DCF" w:rsidRDefault="00071DCF" w:rsidP="00071DCF">
      <w:pPr>
        <w:spacing w:after="0" w:line="240" w:lineRule="auto"/>
        <w:jc w:val="both"/>
        <w:rPr>
          <w:rFonts w:ascii="Arial" w:hAnsi="Arial" w:cs="Arial"/>
          <w:color w:val="000000"/>
        </w:rPr>
      </w:pPr>
      <w:r>
        <w:rPr>
          <w:rFonts w:ascii="Arial" w:hAnsi="Arial" w:cs="Arial"/>
          <w:color w:val="000000"/>
        </w:rPr>
        <w:t xml:space="preserve">The small merger of Raumix Aggregates and OMV Group, originally prohibited by the Competition Commission, has been subsequently approved by the Competition Tribunal subject to certain conditions at a hearing held today, 9 March 2016. </w:t>
      </w:r>
    </w:p>
    <w:p w:rsidR="00071DCF" w:rsidRDefault="00071DCF" w:rsidP="00071DCF">
      <w:pPr>
        <w:spacing w:after="0" w:line="240" w:lineRule="auto"/>
        <w:jc w:val="both"/>
        <w:rPr>
          <w:rFonts w:ascii="Arial" w:hAnsi="Arial" w:cs="Arial"/>
          <w:color w:val="000000"/>
        </w:rPr>
      </w:pPr>
    </w:p>
    <w:p w:rsidR="00071DCF" w:rsidRDefault="00071DCF" w:rsidP="00071DCF">
      <w:pPr>
        <w:spacing w:after="0" w:line="240" w:lineRule="auto"/>
        <w:jc w:val="both"/>
        <w:rPr>
          <w:rFonts w:ascii="Arial" w:hAnsi="Arial" w:cs="Arial"/>
          <w:color w:val="000000"/>
        </w:rPr>
      </w:pPr>
      <w:r>
        <w:rPr>
          <w:rFonts w:ascii="Arial" w:hAnsi="Arial" w:cs="Arial"/>
          <w:color w:val="000000"/>
        </w:rPr>
        <w:t xml:space="preserve">In July 2015, the Competition Commission prohibited the merger prompting the merging parties to approach the Tribunal to consider the Commission’s decision. They asked that the merger be approved unconditionally. </w:t>
      </w:r>
    </w:p>
    <w:p w:rsidR="00071DCF" w:rsidRDefault="00071DCF" w:rsidP="00071DCF">
      <w:pPr>
        <w:spacing w:after="0" w:line="240" w:lineRule="auto"/>
        <w:jc w:val="both"/>
        <w:rPr>
          <w:rFonts w:ascii="Arial" w:hAnsi="Arial" w:cs="Arial"/>
          <w:color w:val="000000"/>
        </w:rPr>
      </w:pPr>
    </w:p>
    <w:p w:rsidR="00071DCF" w:rsidRDefault="00071DCF" w:rsidP="00071DCF">
      <w:pPr>
        <w:spacing w:after="0" w:line="240" w:lineRule="auto"/>
        <w:jc w:val="both"/>
        <w:rPr>
          <w:rFonts w:ascii="Arial" w:hAnsi="Arial" w:cs="Arial"/>
          <w:color w:val="000000"/>
        </w:rPr>
      </w:pPr>
      <w:r>
        <w:rPr>
          <w:rFonts w:ascii="Arial" w:hAnsi="Arial" w:cs="Arial"/>
          <w:color w:val="000000"/>
        </w:rPr>
        <w:t xml:space="preserve">OMV owns a quarry in Kimberley which supplies inputs to the construction and road construction industry. Raubex Aggregates is part of the Raubex Group which is also involved in the downstream market for road construction. </w:t>
      </w:r>
    </w:p>
    <w:p w:rsidR="00071DCF" w:rsidRDefault="00071DCF" w:rsidP="00071DCF">
      <w:pPr>
        <w:spacing w:after="0" w:line="240" w:lineRule="auto"/>
        <w:jc w:val="both"/>
        <w:rPr>
          <w:rFonts w:ascii="Arial" w:hAnsi="Arial" w:cs="Arial"/>
          <w:color w:val="000000"/>
        </w:rPr>
      </w:pPr>
    </w:p>
    <w:p w:rsidR="00071DCF" w:rsidRDefault="00071DCF" w:rsidP="00071DCF">
      <w:pPr>
        <w:spacing w:after="0" w:line="240" w:lineRule="auto"/>
        <w:jc w:val="both"/>
        <w:rPr>
          <w:rFonts w:ascii="Arial" w:hAnsi="Arial" w:cs="Arial"/>
          <w:color w:val="000000"/>
        </w:rPr>
      </w:pPr>
      <w:r>
        <w:rPr>
          <w:rFonts w:ascii="Arial" w:hAnsi="Arial" w:cs="Arial"/>
          <w:color w:val="000000"/>
        </w:rPr>
        <w:t xml:space="preserve">The Commission was concerned, among other things, that the proposed merger would substantially prevent or lessen competition in the market for the production and supply of aggregates used in the surfacing of roads in the Kimberly area. Other than the OMV Group there are no other suppliers of a specific grade of stone in the Kimberly area. </w:t>
      </w:r>
      <w:proofErr w:type="spellStart"/>
      <w:r>
        <w:rPr>
          <w:rFonts w:ascii="Arial" w:hAnsi="Arial" w:cs="Arial"/>
          <w:color w:val="000000"/>
        </w:rPr>
        <w:t>Post merger</w:t>
      </w:r>
      <w:proofErr w:type="spellEnd"/>
      <w:r>
        <w:rPr>
          <w:rFonts w:ascii="Arial" w:hAnsi="Arial" w:cs="Arial"/>
          <w:color w:val="000000"/>
        </w:rPr>
        <w:t xml:space="preserve"> rivals of Raubex in the road construction market would have to tender against it for construction work from SANRAL but also depend on it to supply the input road materials which were too expensive to transport from elsewhere.</w:t>
      </w:r>
    </w:p>
    <w:p w:rsidR="00071DCF" w:rsidRDefault="00071DCF" w:rsidP="00071DCF">
      <w:pPr>
        <w:spacing w:after="0" w:line="240" w:lineRule="auto"/>
        <w:jc w:val="both"/>
        <w:rPr>
          <w:rFonts w:ascii="Arial" w:hAnsi="Arial" w:cs="Arial"/>
          <w:color w:val="000000"/>
        </w:rPr>
      </w:pPr>
    </w:p>
    <w:p w:rsidR="00071DCF" w:rsidRDefault="00071DCF" w:rsidP="00071DCF">
      <w:pPr>
        <w:spacing w:after="0" w:line="240" w:lineRule="auto"/>
        <w:jc w:val="both"/>
        <w:rPr>
          <w:rFonts w:ascii="Arial" w:hAnsi="Arial" w:cs="Arial"/>
          <w:color w:val="000000"/>
        </w:rPr>
      </w:pPr>
      <w:r>
        <w:rPr>
          <w:rFonts w:ascii="Arial" w:hAnsi="Arial" w:cs="Arial"/>
          <w:color w:val="000000"/>
        </w:rPr>
        <w:t xml:space="preserve">The Commission was also concerned that Raubex, which owns quarries in other regions, would raise the prices of its inputs to the road construction industry. </w:t>
      </w:r>
    </w:p>
    <w:p w:rsidR="00071DCF" w:rsidRDefault="00071DCF" w:rsidP="00071DCF">
      <w:pPr>
        <w:spacing w:after="0" w:line="240" w:lineRule="auto"/>
        <w:jc w:val="both"/>
        <w:rPr>
          <w:rFonts w:ascii="Arial" w:hAnsi="Arial" w:cs="Arial"/>
          <w:color w:val="000000"/>
        </w:rPr>
      </w:pPr>
    </w:p>
    <w:p w:rsidR="00071DCF" w:rsidRDefault="00071DCF" w:rsidP="00071DCF">
      <w:pPr>
        <w:spacing w:after="0" w:line="240" w:lineRule="auto"/>
        <w:jc w:val="both"/>
        <w:rPr>
          <w:rFonts w:ascii="Arial" w:hAnsi="Arial" w:cs="Arial"/>
          <w:color w:val="000000"/>
        </w:rPr>
      </w:pPr>
      <w:r>
        <w:rPr>
          <w:rFonts w:ascii="Arial" w:hAnsi="Arial" w:cs="Arial"/>
          <w:color w:val="000000"/>
        </w:rPr>
        <w:t xml:space="preserve">The Tribunal asked that the Commission and the merging companies attempt to draft an agreement that would address the Commission’s concerns. </w:t>
      </w:r>
    </w:p>
    <w:p w:rsidR="00071DCF" w:rsidRDefault="00071DCF" w:rsidP="00071DCF">
      <w:pPr>
        <w:spacing w:after="0" w:line="240" w:lineRule="auto"/>
        <w:jc w:val="both"/>
        <w:rPr>
          <w:rFonts w:ascii="Arial" w:hAnsi="Arial" w:cs="Arial"/>
          <w:color w:val="000000"/>
        </w:rPr>
      </w:pPr>
    </w:p>
    <w:p w:rsidR="00071DCF" w:rsidRDefault="00071DCF" w:rsidP="00071DCF">
      <w:pPr>
        <w:spacing w:after="0" w:line="240" w:lineRule="auto"/>
        <w:jc w:val="both"/>
        <w:rPr>
          <w:rFonts w:ascii="Arial" w:hAnsi="Arial" w:cs="Arial"/>
          <w:color w:val="000000"/>
        </w:rPr>
      </w:pPr>
      <w:r>
        <w:rPr>
          <w:rFonts w:ascii="Arial" w:hAnsi="Arial" w:cs="Arial"/>
          <w:color w:val="000000"/>
        </w:rPr>
        <w:t xml:space="preserve">The conditions imposed relate to controls relating to the pricing of aggregated crushed road stone and the non-discrimination of competitors in the road contracting sector, as well as an undertaking that there would be no internal and secret discounts to Raubex for road stone. </w:t>
      </w:r>
    </w:p>
    <w:p w:rsidR="00071DCF" w:rsidRDefault="00071DCF" w:rsidP="00071DCF">
      <w:pPr>
        <w:spacing w:after="0" w:line="240" w:lineRule="auto"/>
        <w:jc w:val="both"/>
        <w:rPr>
          <w:rFonts w:ascii="Arial" w:hAnsi="Arial" w:cs="Arial"/>
          <w:color w:val="000000"/>
        </w:rPr>
      </w:pPr>
    </w:p>
    <w:p w:rsidR="00071DCF" w:rsidRDefault="00071DCF" w:rsidP="00071DCF">
      <w:pPr>
        <w:spacing w:after="0" w:line="240" w:lineRule="auto"/>
        <w:jc w:val="both"/>
        <w:rPr>
          <w:rFonts w:ascii="Arial" w:hAnsi="Arial" w:cs="Arial"/>
          <w:color w:val="000000"/>
        </w:rPr>
      </w:pPr>
      <w:r>
        <w:rPr>
          <w:rFonts w:ascii="Arial" w:hAnsi="Arial" w:cs="Arial"/>
          <w:color w:val="000000"/>
        </w:rPr>
        <w:t xml:space="preserve">Conditions also provide for monitoring of the requirements set down, including that the Kimberley target firm OMV Group, shall upon request and reasonable notice, provide the Commission with sufficient information to demonstrate that the target firm has not discriminated in favour of Raubex. </w:t>
      </w:r>
    </w:p>
    <w:p w:rsidR="00071DCF" w:rsidRDefault="00071DCF" w:rsidP="00071DCF">
      <w:pPr>
        <w:spacing w:after="0" w:line="240" w:lineRule="auto"/>
        <w:jc w:val="both"/>
        <w:rPr>
          <w:rFonts w:ascii="Arial" w:hAnsi="Arial" w:cs="Arial"/>
          <w:color w:val="000000"/>
        </w:rPr>
      </w:pPr>
    </w:p>
    <w:p w:rsidR="00071DCF" w:rsidRDefault="00071DCF" w:rsidP="00071DCF">
      <w:pPr>
        <w:spacing w:after="0" w:line="240" w:lineRule="auto"/>
        <w:jc w:val="both"/>
        <w:rPr>
          <w:rFonts w:ascii="Arial" w:hAnsi="Arial" w:cs="Arial"/>
          <w:color w:val="000000"/>
        </w:rPr>
      </w:pPr>
      <w:r>
        <w:rPr>
          <w:rFonts w:ascii="Arial" w:hAnsi="Arial" w:cs="Arial"/>
          <w:color w:val="000000"/>
        </w:rPr>
        <w:t xml:space="preserve">The South African National Roads Agency (SANRAL) that had raised concerns during the Commission’s investigation, was present at the hearing and said it was satisfied with the conditions. </w:t>
      </w:r>
    </w:p>
    <w:p w:rsidR="00071DCF" w:rsidRDefault="00071DCF" w:rsidP="00071DCF">
      <w:pPr>
        <w:spacing w:after="0" w:line="240" w:lineRule="auto"/>
        <w:jc w:val="both"/>
        <w:rPr>
          <w:rFonts w:ascii="Arial" w:hAnsi="Arial" w:cs="Arial"/>
          <w:color w:val="000000"/>
        </w:rPr>
      </w:pPr>
    </w:p>
    <w:p w:rsidR="00071DCF" w:rsidRPr="00E02933" w:rsidRDefault="00071DCF" w:rsidP="00071DCF">
      <w:pPr>
        <w:spacing w:after="0" w:line="240" w:lineRule="auto"/>
        <w:jc w:val="both"/>
        <w:rPr>
          <w:rFonts w:ascii="Arial" w:hAnsi="Arial" w:cs="Arial"/>
          <w:lang w:eastAsia="en-ZA"/>
        </w:rPr>
      </w:pPr>
      <w:r>
        <w:rPr>
          <w:rFonts w:ascii="Arial" w:hAnsi="Arial" w:cs="Arial"/>
          <w:color w:val="000000"/>
          <w:lang w:eastAsia="en-ZA"/>
        </w:rPr>
        <w:t xml:space="preserve">Issued by: </w:t>
      </w:r>
    </w:p>
    <w:p w:rsidR="00071DCF" w:rsidRDefault="00071DCF" w:rsidP="00071DCF">
      <w:pPr>
        <w:spacing w:after="0" w:line="240" w:lineRule="auto"/>
        <w:jc w:val="both"/>
        <w:rPr>
          <w:rFonts w:ascii="Arial" w:hAnsi="Arial" w:cs="Arial"/>
          <w:color w:val="000000"/>
          <w:lang w:eastAsia="en-ZA"/>
        </w:rPr>
      </w:pPr>
      <w:r>
        <w:rPr>
          <w:rFonts w:ascii="Arial" w:hAnsi="Arial" w:cs="Arial"/>
          <w:color w:val="000000"/>
          <w:lang w:eastAsia="en-ZA"/>
        </w:rPr>
        <w:t xml:space="preserve">Chantelle Benjamin </w:t>
      </w:r>
    </w:p>
    <w:p w:rsidR="00071DCF" w:rsidRDefault="00071DCF" w:rsidP="00071DCF">
      <w:pPr>
        <w:spacing w:after="0" w:line="240" w:lineRule="auto"/>
        <w:jc w:val="both"/>
        <w:rPr>
          <w:rFonts w:ascii="Arial" w:hAnsi="Arial" w:cs="Arial"/>
          <w:color w:val="000000"/>
          <w:lang w:eastAsia="en-ZA"/>
        </w:rPr>
      </w:pPr>
      <w:r>
        <w:rPr>
          <w:rFonts w:ascii="Arial" w:hAnsi="Arial" w:cs="Arial"/>
          <w:color w:val="000000"/>
          <w:lang w:eastAsia="en-ZA"/>
        </w:rPr>
        <w:t>Communications</w:t>
      </w:r>
      <w:r w:rsidRPr="00E02933">
        <w:rPr>
          <w:rFonts w:ascii="Arial" w:hAnsi="Arial" w:cs="Arial"/>
          <w:color w:val="000000"/>
          <w:lang w:eastAsia="en-ZA"/>
        </w:rPr>
        <w:t>: Competition Tribunal   </w:t>
      </w:r>
    </w:p>
    <w:p w:rsidR="00071DCF" w:rsidRPr="00E02933" w:rsidRDefault="00071DCF" w:rsidP="00071DCF">
      <w:pPr>
        <w:spacing w:after="0" w:line="240" w:lineRule="auto"/>
        <w:jc w:val="both"/>
        <w:rPr>
          <w:rFonts w:ascii="Arial" w:hAnsi="Arial" w:cs="Arial"/>
          <w:color w:val="000000"/>
          <w:lang w:eastAsia="en-ZA"/>
        </w:rPr>
      </w:pPr>
      <w:r>
        <w:rPr>
          <w:rFonts w:ascii="Arial" w:hAnsi="Arial" w:cs="Arial"/>
          <w:color w:val="000000"/>
          <w:lang w:eastAsia="en-ZA"/>
        </w:rPr>
        <w:t>Tel (012)394 1383</w:t>
      </w:r>
      <w:r w:rsidRPr="00E02933">
        <w:rPr>
          <w:rFonts w:ascii="Arial" w:hAnsi="Arial" w:cs="Arial"/>
          <w:color w:val="000000"/>
          <w:lang w:eastAsia="en-ZA"/>
        </w:rPr>
        <w:t xml:space="preserve">                                      </w:t>
      </w:r>
    </w:p>
    <w:p w:rsidR="00071DCF" w:rsidRPr="00E02933" w:rsidRDefault="00071DCF" w:rsidP="00071DCF">
      <w:pPr>
        <w:spacing w:after="0" w:line="240" w:lineRule="auto"/>
        <w:jc w:val="both"/>
        <w:rPr>
          <w:rFonts w:ascii="Arial" w:hAnsi="Arial" w:cs="Arial"/>
          <w:lang w:eastAsia="en-ZA"/>
        </w:rPr>
      </w:pPr>
      <w:r>
        <w:rPr>
          <w:rFonts w:ascii="Arial" w:hAnsi="Arial" w:cs="Arial"/>
          <w:color w:val="000000"/>
          <w:lang w:eastAsia="en-ZA"/>
        </w:rPr>
        <w:t>Cell: +27 (0) 73 007 5603</w:t>
      </w:r>
      <w:r w:rsidRPr="00E02933">
        <w:rPr>
          <w:rFonts w:ascii="Arial" w:hAnsi="Arial" w:cs="Arial"/>
          <w:color w:val="000000"/>
          <w:lang w:eastAsia="en-ZA"/>
        </w:rPr>
        <w:t xml:space="preserve">                                          </w:t>
      </w:r>
    </w:p>
    <w:p w:rsidR="00071DCF" w:rsidRPr="00E02933" w:rsidRDefault="00071DCF" w:rsidP="00071DCF">
      <w:pPr>
        <w:spacing w:after="0" w:line="240" w:lineRule="auto"/>
        <w:jc w:val="both"/>
        <w:rPr>
          <w:rFonts w:ascii="Arial" w:hAnsi="Arial" w:cs="Arial"/>
        </w:rPr>
      </w:pPr>
      <w:r w:rsidRPr="00E02933">
        <w:rPr>
          <w:rFonts w:ascii="Arial" w:hAnsi="Arial" w:cs="Arial"/>
          <w:color w:val="000000"/>
          <w:lang w:eastAsia="en-ZA"/>
        </w:rPr>
        <w:t xml:space="preserve">E-Mail: </w:t>
      </w:r>
      <w:hyperlink r:id="rId5" w:history="1">
        <w:r w:rsidRPr="00E02933">
          <w:rPr>
            <w:rStyle w:val="Hyperlink"/>
            <w:rFonts w:ascii="Arial" w:hAnsi="Arial" w:cs="Arial"/>
            <w:lang w:eastAsia="en-ZA"/>
          </w:rPr>
          <w:t>chantelleb@comptrib.co.za</w:t>
        </w:r>
      </w:hyperlink>
      <w:r w:rsidRPr="00E02933">
        <w:rPr>
          <w:rFonts w:ascii="Arial" w:hAnsi="Arial" w:cs="Arial"/>
        </w:rPr>
        <w:t xml:space="preserve"> </w:t>
      </w:r>
    </w:p>
    <w:p w:rsidR="00071DCF" w:rsidRPr="00E02933" w:rsidRDefault="00071DCF" w:rsidP="00071DCF">
      <w:pPr>
        <w:spacing w:after="0" w:line="240" w:lineRule="auto"/>
        <w:jc w:val="both"/>
        <w:rPr>
          <w:rFonts w:ascii="Arial" w:hAnsi="Arial" w:cs="Arial"/>
          <w:color w:val="000000"/>
        </w:rPr>
      </w:pPr>
    </w:p>
    <w:p w:rsidR="00071DCF" w:rsidRPr="00E02933" w:rsidRDefault="00071DCF" w:rsidP="00071DCF">
      <w:pPr>
        <w:spacing w:after="0" w:line="240" w:lineRule="auto"/>
        <w:jc w:val="both"/>
        <w:rPr>
          <w:rFonts w:ascii="Arial" w:hAnsi="Arial" w:cs="Arial"/>
          <w:color w:val="000000"/>
        </w:rPr>
      </w:pPr>
    </w:p>
    <w:p w:rsidR="00071DCF" w:rsidRPr="00E02933" w:rsidRDefault="00071DCF" w:rsidP="00071DCF">
      <w:pPr>
        <w:spacing w:after="0" w:line="240" w:lineRule="auto"/>
        <w:jc w:val="both"/>
        <w:rPr>
          <w:rFonts w:ascii="Arial" w:hAnsi="Arial" w:cs="Arial"/>
          <w:lang w:eastAsia="en-ZA"/>
        </w:rPr>
      </w:pPr>
      <w:r w:rsidRPr="00E02933">
        <w:rPr>
          <w:rFonts w:ascii="Arial" w:hAnsi="Arial" w:cs="Arial"/>
          <w:color w:val="000000"/>
          <w:lang w:eastAsia="en-ZA"/>
        </w:rPr>
        <w:t>On Behalf Of:</w:t>
      </w:r>
    </w:p>
    <w:p w:rsidR="00071DCF" w:rsidRPr="00E02933" w:rsidRDefault="00071DCF" w:rsidP="00071DCF">
      <w:pPr>
        <w:spacing w:after="0" w:line="240" w:lineRule="auto"/>
        <w:jc w:val="both"/>
        <w:rPr>
          <w:rFonts w:ascii="Arial" w:hAnsi="Arial" w:cs="Arial"/>
          <w:lang w:eastAsia="en-ZA"/>
        </w:rPr>
      </w:pPr>
      <w:r w:rsidRPr="00E02933">
        <w:rPr>
          <w:rFonts w:ascii="Arial" w:hAnsi="Arial" w:cs="Arial"/>
          <w:color w:val="000000"/>
          <w:lang w:eastAsia="en-ZA"/>
        </w:rPr>
        <w:t>Lerato Motaung                                                   </w:t>
      </w:r>
    </w:p>
    <w:p w:rsidR="00071DCF" w:rsidRPr="00E02933" w:rsidRDefault="00071DCF" w:rsidP="00071DCF">
      <w:pPr>
        <w:spacing w:after="0" w:line="240" w:lineRule="auto"/>
        <w:jc w:val="both"/>
        <w:rPr>
          <w:rFonts w:ascii="Arial" w:hAnsi="Arial" w:cs="Arial"/>
          <w:lang w:eastAsia="en-ZA"/>
        </w:rPr>
      </w:pPr>
      <w:r w:rsidRPr="00E02933">
        <w:rPr>
          <w:rFonts w:ascii="Arial" w:hAnsi="Arial" w:cs="Arial"/>
          <w:color w:val="000000"/>
          <w:lang w:eastAsia="en-ZA"/>
        </w:rPr>
        <w:t xml:space="preserve">Registrar: Competition Tribunal                                         </w:t>
      </w:r>
    </w:p>
    <w:p w:rsidR="00071DCF" w:rsidRPr="00E02933" w:rsidRDefault="00071DCF" w:rsidP="00071DCF">
      <w:pPr>
        <w:spacing w:after="0" w:line="240" w:lineRule="auto"/>
        <w:jc w:val="both"/>
        <w:rPr>
          <w:rFonts w:ascii="Arial" w:hAnsi="Arial" w:cs="Arial"/>
          <w:lang w:eastAsia="en-ZA"/>
        </w:rPr>
      </w:pPr>
      <w:r w:rsidRPr="00E02933">
        <w:rPr>
          <w:rFonts w:ascii="Arial" w:hAnsi="Arial" w:cs="Arial"/>
          <w:color w:val="000000"/>
          <w:lang w:eastAsia="en-ZA"/>
        </w:rPr>
        <w:t xml:space="preserve">Tel: (012) 394 3355                                              </w:t>
      </w:r>
    </w:p>
    <w:p w:rsidR="00071DCF" w:rsidRPr="00E02933" w:rsidRDefault="00071DCF" w:rsidP="00071DCF">
      <w:pPr>
        <w:spacing w:after="0" w:line="240" w:lineRule="auto"/>
        <w:jc w:val="both"/>
        <w:rPr>
          <w:rFonts w:ascii="Arial" w:hAnsi="Arial" w:cs="Arial"/>
          <w:lang w:eastAsia="en-ZA"/>
        </w:rPr>
      </w:pPr>
      <w:r w:rsidRPr="00E02933">
        <w:rPr>
          <w:rFonts w:ascii="Arial" w:hAnsi="Arial" w:cs="Arial"/>
          <w:color w:val="000000"/>
          <w:lang w:eastAsia="en-ZA"/>
        </w:rPr>
        <w:t xml:space="preserve">Cell: +27 (0) 82 556 3221                                               </w:t>
      </w:r>
    </w:p>
    <w:p w:rsidR="00071DCF" w:rsidRPr="00E02933" w:rsidRDefault="00071DCF" w:rsidP="00071DCF">
      <w:pPr>
        <w:spacing w:after="0" w:line="240" w:lineRule="auto"/>
        <w:jc w:val="both"/>
        <w:rPr>
          <w:rFonts w:ascii="Arial" w:hAnsi="Arial" w:cs="Arial"/>
        </w:rPr>
      </w:pPr>
      <w:r w:rsidRPr="00E02933">
        <w:rPr>
          <w:rFonts w:ascii="Arial" w:hAnsi="Arial" w:cs="Arial"/>
          <w:color w:val="000000"/>
          <w:lang w:eastAsia="en-ZA"/>
        </w:rPr>
        <w:t xml:space="preserve">E-Mail: </w:t>
      </w:r>
      <w:hyperlink r:id="rId6" w:history="1">
        <w:r w:rsidRPr="00E02933">
          <w:rPr>
            <w:rStyle w:val="Hyperlink"/>
            <w:rFonts w:ascii="Arial" w:hAnsi="Arial" w:cs="Arial"/>
            <w:lang w:eastAsia="en-ZA"/>
          </w:rPr>
          <w:t>LeratoM@comptrib.co.za</w:t>
        </w:r>
      </w:hyperlink>
    </w:p>
    <w:p w:rsidR="001260C5" w:rsidRDefault="00AD67E0"/>
    <w:sectPr w:rsidR="00126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DCF"/>
    <w:rsid w:val="00071DCF"/>
    <w:rsid w:val="00212E59"/>
    <w:rsid w:val="00F6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B5B48F-5CEE-42B3-8C27-B39E3D885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DCF"/>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D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normanm\AppData\Local\Microsoft\Windows\Temporary%20Internet%20Files\Content.Outlook\0IZCZQO7\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Chantelle Benjamin</cp:lastModifiedBy>
  <cp:revision>1</cp:revision>
  <dcterms:created xsi:type="dcterms:W3CDTF">2016-03-09T16:01:00Z</dcterms:created>
  <dcterms:modified xsi:type="dcterms:W3CDTF">2016-03-09T16:01:00Z</dcterms:modified>
</cp:coreProperties>
</file>