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13" w:rsidRDefault="007B5013" w:rsidP="007B5013">
      <w:pPr>
        <w:spacing w:after="0" w:line="360" w:lineRule="auto"/>
        <w:ind w:left="454" w:right="454"/>
        <w:jc w:val="both"/>
        <w:rPr>
          <w:rFonts w:ascii="Arial" w:hAnsi="Arial" w:cs="Arial"/>
          <w:sz w:val="24"/>
          <w:szCs w:val="24"/>
        </w:rPr>
      </w:pPr>
    </w:p>
    <w:p w:rsidR="007B5013" w:rsidRDefault="007B5013" w:rsidP="007B5013">
      <w:pPr>
        <w:spacing w:after="0" w:line="360" w:lineRule="auto"/>
        <w:ind w:left="454" w:right="454"/>
        <w:jc w:val="both"/>
        <w:rPr>
          <w:rFonts w:ascii="Arial" w:hAnsi="Arial" w:cs="Arial"/>
          <w:sz w:val="24"/>
          <w:szCs w:val="24"/>
        </w:rPr>
      </w:pPr>
    </w:p>
    <w:p w:rsidR="007B5013" w:rsidRDefault="007B5013" w:rsidP="007B5013">
      <w:pPr>
        <w:spacing w:after="0" w:line="360" w:lineRule="auto"/>
        <w:ind w:left="454" w:right="454"/>
        <w:jc w:val="center"/>
        <w:rPr>
          <w:rFonts w:ascii="Arial" w:hAnsi="Arial" w:cs="Arial"/>
          <w:sz w:val="24"/>
          <w:szCs w:val="24"/>
        </w:rPr>
      </w:pPr>
      <w:r w:rsidRPr="005D1909">
        <w:rPr>
          <w:b/>
          <w:noProof/>
          <w:lang w:eastAsia="en-ZA"/>
        </w:rPr>
        <w:drawing>
          <wp:inline distT="0" distB="0" distL="0" distR="0" wp14:anchorId="5035EF8D" wp14:editId="4033C73E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013" w:rsidRDefault="007B5013" w:rsidP="007B5013">
      <w:pPr>
        <w:spacing w:after="0" w:line="360" w:lineRule="auto"/>
        <w:ind w:left="454" w:right="454"/>
        <w:jc w:val="right"/>
        <w:rPr>
          <w:rFonts w:cs="Arial"/>
        </w:rPr>
      </w:pPr>
      <w:r w:rsidRPr="007B5013">
        <w:rPr>
          <w:rFonts w:cs="Arial"/>
        </w:rPr>
        <w:t>13 September, 2017</w:t>
      </w:r>
    </w:p>
    <w:p w:rsidR="007B5013" w:rsidRDefault="007B5013" w:rsidP="007B5013">
      <w:pPr>
        <w:spacing w:after="0" w:line="360" w:lineRule="auto"/>
        <w:ind w:left="454" w:right="454"/>
        <w:rPr>
          <w:rFonts w:cs="Arial"/>
        </w:rPr>
      </w:pPr>
    </w:p>
    <w:p w:rsidR="007B5013" w:rsidRPr="007B5013" w:rsidRDefault="007B5013" w:rsidP="007B5013">
      <w:pPr>
        <w:spacing w:after="0" w:line="276" w:lineRule="auto"/>
        <w:ind w:left="454" w:right="454"/>
        <w:jc w:val="both"/>
        <w:rPr>
          <w:rFonts w:cs="Arial"/>
          <w:b/>
          <w:sz w:val="24"/>
          <w:szCs w:val="24"/>
        </w:rPr>
      </w:pPr>
      <w:r w:rsidRPr="007B5013">
        <w:rPr>
          <w:rFonts w:cs="Arial"/>
          <w:b/>
          <w:sz w:val="24"/>
          <w:szCs w:val="24"/>
        </w:rPr>
        <w:t xml:space="preserve">HCI and </w:t>
      </w:r>
      <w:proofErr w:type="spellStart"/>
      <w:r w:rsidRPr="007B5013">
        <w:rPr>
          <w:rFonts w:cs="Arial"/>
          <w:b/>
          <w:sz w:val="24"/>
          <w:szCs w:val="24"/>
        </w:rPr>
        <w:t>Tsogo</w:t>
      </w:r>
      <w:proofErr w:type="spellEnd"/>
      <w:r w:rsidRPr="007B5013">
        <w:rPr>
          <w:rFonts w:cs="Arial"/>
          <w:b/>
          <w:sz w:val="24"/>
          <w:szCs w:val="24"/>
        </w:rPr>
        <w:t xml:space="preserve"> Sun’s urgent application to Tribunal regarding </w:t>
      </w:r>
      <w:proofErr w:type="spellStart"/>
      <w:r w:rsidRPr="007B5013">
        <w:rPr>
          <w:rFonts w:cs="Arial"/>
          <w:b/>
          <w:sz w:val="24"/>
          <w:szCs w:val="24"/>
        </w:rPr>
        <w:t>Niveus</w:t>
      </w:r>
      <w:proofErr w:type="spellEnd"/>
      <w:r w:rsidRPr="007B5013">
        <w:rPr>
          <w:rFonts w:cs="Arial"/>
          <w:b/>
          <w:sz w:val="24"/>
          <w:szCs w:val="24"/>
        </w:rPr>
        <w:t xml:space="preserve"> transaction dismissed</w:t>
      </w:r>
    </w:p>
    <w:p w:rsidR="00AA6273" w:rsidRPr="007B5013" w:rsidRDefault="00856C36" w:rsidP="007B5013">
      <w:pPr>
        <w:spacing w:before="240" w:after="0" w:line="276" w:lineRule="auto"/>
        <w:ind w:left="454" w:right="454"/>
        <w:jc w:val="both"/>
        <w:rPr>
          <w:rFonts w:cs="Arial"/>
          <w:sz w:val="24"/>
          <w:szCs w:val="24"/>
        </w:rPr>
      </w:pPr>
      <w:r w:rsidRPr="007B5013">
        <w:rPr>
          <w:rFonts w:cs="Arial"/>
          <w:sz w:val="24"/>
          <w:szCs w:val="24"/>
        </w:rPr>
        <w:t xml:space="preserve">The Competition Tribunal has issued an </w:t>
      </w:r>
      <w:r w:rsidR="00AA6273" w:rsidRPr="007B5013">
        <w:rPr>
          <w:rFonts w:cs="Arial"/>
          <w:sz w:val="24"/>
          <w:szCs w:val="24"/>
        </w:rPr>
        <w:t>order</w:t>
      </w:r>
      <w:r w:rsidR="00BA7271" w:rsidRPr="007B5013">
        <w:rPr>
          <w:rFonts w:cs="Arial"/>
          <w:sz w:val="24"/>
          <w:szCs w:val="24"/>
        </w:rPr>
        <w:t xml:space="preserve"> </w:t>
      </w:r>
      <w:r w:rsidRPr="007B5013">
        <w:rPr>
          <w:rFonts w:cs="Arial"/>
          <w:sz w:val="24"/>
          <w:szCs w:val="24"/>
        </w:rPr>
        <w:t>regarding an urgent application by Hosken Consolidated Investment Ltd</w:t>
      </w:r>
      <w:r w:rsidR="00AA6273" w:rsidRPr="007B5013">
        <w:rPr>
          <w:rFonts w:cs="Arial"/>
          <w:sz w:val="24"/>
          <w:szCs w:val="24"/>
        </w:rPr>
        <w:t xml:space="preserve"> (“</w:t>
      </w:r>
      <w:r w:rsidR="00C04239" w:rsidRPr="007B5013">
        <w:rPr>
          <w:rFonts w:cs="Arial"/>
          <w:sz w:val="24"/>
          <w:szCs w:val="24"/>
        </w:rPr>
        <w:t>HCI</w:t>
      </w:r>
      <w:r w:rsidR="00AA6273" w:rsidRPr="007B5013">
        <w:rPr>
          <w:rFonts w:cs="Arial"/>
          <w:sz w:val="24"/>
          <w:szCs w:val="24"/>
        </w:rPr>
        <w:t>”)</w:t>
      </w:r>
      <w:r w:rsidRPr="007B5013">
        <w:rPr>
          <w:rFonts w:cs="Arial"/>
          <w:sz w:val="24"/>
          <w:szCs w:val="24"/>
        </w:rPr>
        <w:t xml:space="preserve"> and Tsogo Sun Holdings Ltd</w:t>
      </w:r>
      <w:r w:rsidR="00AA6273" w:rsidRPr="007B5013">
        <w:rPr>
          <w:rFonts w:cs="Arial"/>
          <w:sz w:val="24"/>
          <w:szCs w:val="24"/>
        </w:rPr>
        <w:t xml:space="preserve"> (“Tsogo”)</w:t>
      </w:r>
      <w:r w:rsidRPr="007B5013">
        <w:rPr>
          <w:rFonts w:cs="Arial"/>
          <w:sz w:val="24"/>
          <w:szCs w:val="24"/>
        </w:rPr>
        <w:t xml:space="preserve"> </w:t>
      </w:r>
      <w:r w:rsidR="006508F6" w:rsidRPr="007B5013">
        <w:rPr>
          <w:rFonts w:cs="Arial"/>
          <w:sz w:val="24"/>
          <w:szCs w:val="24"/>
        </w:rPr>
        <w:t>who approached the Tribunal on Friday, 8 September</w:t>
      </w:r>
      <w:r w:rsidR="00BA7271" w:rsidRPr="007B5013">
        <w:rPr>
          <w:rFonts w:cs="Arial"/>
          <w:sz w:val="24"/>
          <w:szCs w:val="24"/>
        </w:rPr>
        <w:t xml:space="preserve"> 2017</w:t>
      </w:r>
      <w:r w:rsidR="006508F6" w:rsidRPr="007B5013">
        <w:rPr>
          <w:rFonts w:cs="Arial"/>
          <w:sz w:val="24"/>
          <w:szCs w:val="24"/>
        </w:rPr>
        <w:t xml:space="preserve"> </w:t>
      </w:r>
      <w:r w:rsidRPr="007B5013">
        <w:rPr>
          <w:rFonts w:cs="Arial"/>
          <w:sz w:val="24"/>
          <w:szCs w:val="24"/>
        </w:rPr>
        <w:t>for a</w:t>
      </w:r>
      <w:r w:rsidR="00BA7271" w:rsidRPr="007B5013">
        <w:rPr>
          <w:rFonts w:cs="Arial"/>
          <w:sz w:val="24"/>
          <w:szCs w:val="24"/>
        </w:rPr>
        <w:t xml:space="preserve"> </w:t>
      </w:r>
      <w:r w:rsidR="00AA6273" w:rsidRPr="007B5013">
        <w:rPr>
          <w:rFonts w:cs="Arial"/>
          <w:sz w:val="24"/>
          <w:szCs w:val="24"/>
        </w:rPr>
        <w:t>declaratory</w:t>
      </w:r>
      <w:r w:rsidRPr="007B5013">
        <w:rPr>
          <w:rFonts w:cs="Arial"/>
          <w:sz w:val="24"/>
          <w:szCs w:val="24"/>
        </w:rPr>
        <w:t xml:space="preserve"> order</w:t>
      </w:r>
      <w:r w:rsidR="00AA6273" w:rsidRPr="007B5013">
        <w:rPr>
          <w:rFonts w:cs="Arial"/>
          <w:sz w:val="24"/>
          <w:szCs w:val="24"/>
        </w:rPr>
        <w:t xml:space="preserve"> for specific relief regarding a </w:t>
      </w:r>
      <w:r w:rsidR="00103911" w:rsidRPr="007B5013">
        <w:rPr>
          <w:rFonts w:cs="Arial"/>
          <w:sz w:val="24"/>
          <w:szCs w:val="24"/>
        </w:rPr>
        <w:t>proposed transaction</w:t>
      </w:r>
      <w:r w:rsidRPr="007B5013">
        <w:rPr>
          <w:rFonts w:cs="Arial"/>
          <w:sz w:val="24"/>
          <w:szCs w:val="24"/>
        </w:rPr>
        <w:t xml:space="preserve"> with Niveus</w:t>
      </w:r>
      <w:r w:rsidR="006508F6" w:rsidRPr="007B5013">
        <w:rPr>
          <w:rFonts w:cs="Arial"/>
          <w:sz w:val="24"/>
          <w:szCs w:val="24"/>
        </w:rPr>
        <w:t xml:space="preserve"> Invest</w:t>
      </w:r>
      <w:r w:rsidR="00085A77" w:rsidRPr="007B5013">
        <w:rPr>
          <w:rFonts w:cs="Arial"/>
          <w:sz w:val="24"/>
          <w:szCs w:val="24"/>
        </w:rPr>
        <w:t xml:space="preserve">ment Limited (“Niveus”). </w:t>
      </w:r>
    </w:p>
    <w:p w:rsidR="00C04239" w:rsidRPr="007B5013" w:rsidRDefault="00C04239" w:rsidP="007B5013">
      <w:pPr>
        <w:spacing w:before="240" w:after="0" w:line="276" w:lineRule="auto"/>
        <w:ind w:left="454" w:right="454"/>
        <w:jc w:val="both"/>
        <w:rPr>
          <w:rFonts w:cs="Arial"/>
          <w:sz w:val="24"/>
          <w:szCs w:val="24"/>
        </w:rPr>
      </w:pPr>
      <w:r w:rsidRPr="007B5013">
        <w:rPr>
          <w:rFonts w:cs="Arial"/>
          <w:sz w:val="24"/>
          <w:szCs w:val="24"/>
        </w:rPr>
        <w:t>This application to the Tribunal arose out of an advisory opinion from the Competition Commission (“Commission”), who after being approached by HCI, advised,</w:t>
      </w:r>
      <w:r w:rsidR="007B5013">
        <w:rPr>
          <w:rFonts w:cs="Arial"/>
          <w:sz w:val="24"/>
          <w:szCs w:val="24"/>
        </w:rPr>
        <w:t xml:space="preserve"> on 17 August 2017, that the proposed </w:t>
      </w:r>
      <w:r w:rsidRPr="007B5013">
        <w:rPr>
          <w:rFonts w:cs="Arial"/>
          <w:sz w:val="24"/>
          <w:szCs w:val="24"/>
        </w:rPr>
        <w:t>transaction be notified as a merger with the Commission.</w:t>
      </w:r>
    </w:p>
    <w:p w:rsidR="00C04239" w:rsidRPr="007B5013" w:rsidRDefault="00C04239" w:rsidP="007B5013">
      <w:pPr>
        <w:spacing w:before="240" w:after="0" w:line="276" w:lineRule="auto"/>
        <w:ind w:left="454" w:right="454"/>
        <w:jc w:val="both"/>
        <w:rPr>
          <w:rFonts w:cs="Arial"/>
          <w:sz w:val="24"/>
          <w:szCs w:val="24"/>
        </w:rPr>
      </w:pPr>
      <w:r w:rsidRPr="007B5013">
        <w:rPr>
          <w:rFonts w:cs="Arial"/>
          <w:sz w:val="24"/>
          <w:szCs w:val="24"/>
        </w:rPr>
        <w:t>In its application, H</w:t>
      </w:r>
      <w:r w:rsidR="00103911" w:rsidRPr="007B5013">
        <w:rPr>
          <w:rFonts w:cs="Arial"/>
          <w:sz w:val="24"/>
          <w:szCs w:val="24"/>
        </w:rPr>
        <w:t>CI</w:t>
      </w:r>
      <w:r w:rsidRPr="007B5013">
        <w:rPr>
          <w:rFonts w:cs="Arial"/>
          <w:sz w:val="24"/>
          <w:szCs w:val="24"/>
        </w:rPr>
        <w:t xml:space="preserve"> and Tsogo requested, by way of a declaratory order, that the transfer of gaming interests owned indirectly by Niveus, to Tsogo is not notifiable, contrary to the Commission’s advisory opinion.  H</w:t>
      </w:r>
      <w:r w:rsidR="00103911" w:rsidRPr="007B5013">
        <w:rPr>
          <w:rFonts w:cs="Arial"/>
          <w:sz w:val="24"/>
          <w:szCs w:val="24"/>
        </w:rPr>
        <w:t>CI</w:t>
      </w:r>
      <w:r w:rsidRPr="007B5013">
        <w:rPr>
          <w:rFonts w:cs="Arial"/>
          <w:sz w:val="24"/>
          <w:szCs w:val="24"/>
        </w:rPr>
        <w:t xml:space="preserve"> and </w:t>
      </w:r>
      <w:r w:rsidR="00192C4F" w:rsidRPr="007B5013">
        <w:rPr>
          <w:rFonts w:cs="Arial"/>
          <w:sz w:val="24"/>
          <w:szCs w:val="24"/>
        </w:rPr>
        <w:t>Tsogo argued</w:t>
      </w:r>
      <w:r w:rsidRPr="007B5013">
        <w:rPr>
          <w:rFonts w:cs="Arial"/>
          <w:sz w:val="24"/>
          <w:szCs w:val="24"/>
        </w:rPr>
        <w:t xml:space="preserve"> that the proposed transaction does not constitute a merger but </w:t>
      </w:r>
      <w:r w:rsidR="00103911" w:rsidRPr="007B5013">
        <w:rPr>
          <w:rFonts w:cs="Arial"/>
          <w:sz w:val="24"/>
          <w:szCs w:val="24"/>
        </w:rPr>
        <w:t>a consolidation of</w:t>
      </w:r>
      <w:r w:rsidRPr="007B5013">
        <w:rPr>
          <w:rFonts w:cs="Arial"/>
          <w:sz w:val="24"/>
          <w:szCs w:val="24"/>
        </w:rPr>
        <w:t xml:space="preserve"> its gaming interests, other than its sports betting and lottery interests, in Niveus into Tsogo. HCI also argued that it already has a controlling shareholding in Tsogo and a controlling interest in Niveus and the transaction amounted to an internal restructuring.  </w:t>
      </w:r>
    </w:p>
    <w:p w:rsidR="009620C7" w:rsidRPr="007B5013" w:rsidRDefault="00C04239" w:rsidP="007B5013">
      <w:pPr>
        <w:spacing w:before="240" w:after="0" w:line="276" w:lineRule="auto"/>
        <w:ind w:left="454" w:right="454"/>
        <w:jc w:val="both"/>
        <w:rPr>
          <w:rFonts w:cs="Arial"/>
          <w:sz w:val="24"/>
          <w:szCs w:val="24"/>
        </w:rPr>
      </w:pPr>
      <w:r w:rsidRPr="007B5013">
        <w:rPr>
          <w:rFonts w:cs="Arial"/>
          <w:sz w:val="24"/>
          <w:szCs w:val="24"/>
        </w:rPr>
        <w:t xml:space="preserve">The Tribunal </w:t>
      </w:r>
      <w:r w:rsidR="007B5013">
        <w:rPr>
          <w:rFonts w:cs="Arial"/>
          <w:sz w:val="24"/>
          <w:szCs w:val="24"/>
        </w:rPr>
        <w:t>has dismissed the</w:t>
      </w:r>
      <w:r w:rsidRPr="007B5013">
        <w:rPr>
          <w:rFonts w:cs="Arial"/>
          <w:sz w:val="24"/>
          <w:szCs w:val="24"/>
        </w:rPr>
        <w:t xml:space="preserve"> application </w:t>
      </w:r>
      <w:r w:rsidR="007B5013">
        <w:rPr>
          <w:rFonts w:cs="Arial"/>
          <w:sz w:val="24"/>
          <w:szCs w:val="24"/>
        </w:rPr>
        <w:t xml:space="preserve">brought </w:t>
      </w:r>
      <w:r w:rsidRPr="007B5013">
        <w:rPr>
          <w:rFonts w:cs="Arial"/>
          <w:sz w:val="24"/>
          <w:szCs w:val="24"/>
        </w:rPr>
        <w:t>on 12 September 2017 and its reasons for doing so are to follow in due course.</w:t>
      </w:r>
    </w:p>
    <w:p w:rsidR="007B5013" w:rsidRDefault="00AA6273" w:rsidP="007B5013">
      <w:pPr>
        <w:spacing w:before="240" w:after="0" w:line="276" w:lineRule="auto"/>
        <w:ind w:left="454" w:right="454"/>
        <w:jc w:val="both"/>
        <w:rPr>
          <w:rFonts w:cs="Arial"/>
          <w:sz w:val="24"/>
          <w:szCs w:val="24"/>
        </w:rPr>
      </w:pPr>
      <w:proofErr w:type="spellStart"/>
      <w:r w:rsidRPr="007B5013">
        <w:rPr>
          <w:rFonts w:cs="Arial"/>
          <w:sz w:val="24"/>
          <w:szCs w:val="24"/>
        </w:rPr>
        <w:t>Tsogo’s</w:t>
      </w:r>
      <w:proofErr w:type="spellEnd"/>
      <w:r w:rsidRPr="007B5013">
        <w:rPr>
          <w:rFonts w:cs="Arial"/>
          <w:sz w:val="24"/>
          <w:szCs w:val="24"/>
        </w:rPr>
        <w:t>, gaming interests are held through Tsogo and Tsogo Sun Gaming (Pty) Ltd. The Tsogo Group</w:t>
      </w:r>
      <w:r w:rsidR="00085A77" w:rsidRPr="007B5013">
        <w:rPr>
          <w:rFonts w:cs="Arial"/>
          <w:sz w:val="24"/>
          <w:szCs w:val="24"/>
        </w:rPr>
        <w:t>,</w:t>
      </w:r>
      <w:r w:rsidRPr="007B5013">
        <w:rPr>
          <w:rFonts w:cs="Arial"/>
          <w:sz w:val="24"/>
          <w:szCs w:val="24"/>
        </w:rPr>
        <w:t xml:space="preserve"> through subsidiary companies</w:t>
      </w:r>
      <w:r w:rsidR="00085A77" w:rsidRPr="007B5013">
        <w:rPr>
          <w:rFonts w:cs="Arial"/>
          <w:sz w:val="24"/>
          <w:szCs w:val="24"/>
        </w:rPr>
        <w:t>,</w:t>
      </w:r>
      <w:r w:rsidRPr="007B5013">
        <w:rPr>
          <w:rFonts w:cs="Arial"/>
          <w:sz w:val="24"/>
          <w:szCs w:val="24"/>
        </w:rPr>
        <w:t xml:space="preserve"> operates 14 gaming and entertainment complexes in South Africa. Its non-casino hotel interests are held through Southern Sun Hotels and Southern Sun Offshore and respective </w:t>
      </w:r>
      <w:r w:rsidR="00435E71" w:rsidRPr="007B5013">
        <w:rPr>
          <w:rFonts w:cs="Arial"/>
          <w:sz w:val="24"/>
          <w:szCs w:val="24"/>
        </w:rPr>
        <w:t>subsidiaries</w:t>
      </w:r>
      <w:r w:rsidRPr="007B5013">
        <w:rPr>
          <w:rFonts w:cs="Arial"/>
          <w:sz w:val="24"/>
          <w:szCs w:val="24"/>
        </w:rPr>
        <w:t>, collectively</w:t>
      </w:r>
      <w:r w:rsidR="00435E71" w:rsidRPr="007B5013">
        <w:rPr>
          <w:rFonts w:cs="Arial"/>
          <w:sz w:val="24"/>
          <w:szCs w:val="24"/>
        </w:rPr>
        <w:t xml:space="preserve"> referred to as</w:t>
      </w:r>
      <w:r w:rsidRPr="007B5013">
        <w:rPr>
          <w:rFonts w:cs="Arial"/>
          <w:sz w:val="24"/>
          <w:szCs w:val="24"/>
        </w:rPr>
        <w:t xml:space="preserve"> Southern Sun Hotels. </w:t>
      </w:r>
    </w:p>
    <w:p w:rsidR="00653036" w:rsidRDefault="00435E71" w:rsidP="007B5013">
      <w:pPr>
        <w:spacing w:before="240" w:after="0" w:line="276" w:lineRule="auto"/>
        <w:ind w:left="454" w:right="454"/>
        <w:jc w:val="both"/>
        <w:rPr>
          <w:rFonts w:cs="Arial"/>
          <w:sz w:val="24"/>
          <w:szCs w:val="24"/>
        </w:rPr>
      </w:pPr>
      <w:r w:rsidRPr="007B5013">
        <w:rPr>
          <w:rFonts w:cs="Arial"/>
          <w:sz w:val="24"/>
          <w:szCs w:val="24"/>
        </w:rPr>
        <w:t xml:space="preserve">HCI’s subsidiary, </w:t>
      </w:r>
      <w:proofErr w:type="spellStart"/>
      <w:r w:rsidR="00AA6273" w:rsidRPr="007B5013">
        <w:rPr>
          <w:rFonts w:cs="Arial"/>
          <w:sz w:val="24"/>
          <w:szCs w:val="24"/>
        </w:rPr>
        <w:t>Niveus</w:t>
      </w:r>
      <w:proofErr w:type="spellEnd"/>
      <w:r w:rsidRPr="007B5013">
        <w:rPr>
          <w:rFonts w:cs="Arial"/>
          <w:sz w:val="24"/>
          <w:szCs w:val="24"/>
        </w:rPr>
        <w:t xml:space="preserve">, </w:t>
      </w:r>
      <w:r w:rsidR="00AA6273" w:rsidRPr="007B5013">
        <w:rPr>
          <w:rFonts w:cs="Arial"/>
          <w:sz w:val="24"/>
          <w:szCs w:val="24"/>
        </w:rPr>
        <w:t xml:space="preserve">wholly owns Niveus Invest 19 </w:t>
      </w:r>
      <w:r w:rsidRPr="007B5013">
        <w:rPr>
          <w:rFonts w:cs="Arial"/>
          <w:sz w:val="24"/>
          <w:szCs w:val="24"/>
        </w:rPr>
        <w:t>Limited</w:t>
      </w:r>
      <w:r w:rsidR="00AA6273" w:rsidRPr="007B5013">
        <w:rPr>
          <w:rFonts w:cs="Arial"/>
          <w:sz w:val="24"/>
          <w:szCs w:val="24"/>
        </w:rPr>
        <w:t xml:space="preserve"> (</w:t>
      </w:r>
      <w:r w:rsidRPr="007B5013">
        <w:rPr>
          <w:rFonts w:cs="Arial"/>
          <w:sz w:val="24"/>
          <w:szCs w:val="24"/>
        </w:rPr>
        <w:t>“</w:t>
      </w:r>
      <w:r w:rsidR="00AA6273" w:rsidRPr="007B5013">
        <w:rPr>
          <w:rFonts w:cs="Arial"/>
          <w:sz w:val="24"/>
          <w:szCs w:val="24"/>
        </w:rPr>
        <w:t>Game</w:t>
      </w:r>
      <w:r w:rsidRPr="007B5013">
        <w:rPr>
          <w:rFonts w:cs="Arial"/>
          <w:sz w:val="24"/>
          <w:szCs w:val="24"/>
        </w:rPr>
        <w:t>C</w:t>
      </w:r>
      <w:r w:rsidR="00AA6273" w:rsidRPr="007B5013">
        <w:rPr>
          <w:rFonts w:cs="Arial"/>
          <w:sz w:val="24"/>
          <w:szCs w:val="24"/>
        </w:rPr>
        <w:t>o</w:t>
      </w:r>
      <w:r w:rsidRPr="007B5013">
        <w:rPr>
          <w:rFonts w:cs="Arial"/>
          <w:sz w:val="24"/>
          <w:szCs w:val="24"/>
        </w:rPr>
        <w:t>”</w:t>
      </w:r>
      <w:r w:rsidR="00AA6273" w:rsidRPr="007B5013">
        <w:rPr>
          <w:rFonts w:cs="Arial"/>
          <w:sz w:val="24"/>
          <w:szCs w:val="24"/>
        </w:rPr>
        <w:t>) and which in turn wholly owns Galaxy Gaming and Entertainment Property Limited, Vukani Gaming Corporation Proprietary Limited and Niveus Invest 1 Proprietary Limited. GameCo comprises all</w:t>
      </w:r>
      <w:r w:rsidR="009620C7" w:rsidRPr="007B5013">
        <w:rPr>
          <w:rFonts w:cs="Arial"/>
          <w:sz w:val="24"/>
          <w:szCs w:val="24"/>
        </w:rPr>
        <w:t xml:space="preserve"> of the South African</w:t>
      </w:r>
      <w:r w:rsidR="00AA6273" w:rsidRPr="007B5013">
        <w:rPr>
          <w:rFonts w:cs="Arial"/>
          <w:sz w:val="24"/>
          <w:szCs w:val="24"/>
        </w:rPr>
        <w:t xml:space="preserve"> gaming interests in Niveus, other than its sports betting and lottery interests</w:t>
      </w:r>
      <w:r w:rsidR="0084791D" w:rsidRPr="007B5013">
        <w:rPr>
          <w:rFonts w:cs="Arial"/>
          <w:sz w:val="24"/>
          <w:szCs w:val="24"/>
        </w:rPr>
        <w:t xml:space="preserve">. </w:t>
      </w:r>
    </w:p>
    <w:p w:rsidR="007B5013" w:rsidRPr="005D1909" w:rsidRDefault="007B5013" w:rsidP="007B5013">
      <w:pPr>
        <w:pStyle w:val="NormalWeb"/>
        <w:shd w:val="clear" w:color="auto" w:fill="FFFFFF"/>
        <w:spacing w:before="0" w:beforeAutospacing="0" w:after="0" w:afterAutospacing="0" w:line="276" w:lineRule="auto"/>
        <w:ind w:left="397" w:right="397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Issued by: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Chantelle Benjamin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>Communications: Competition Tribunal   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>Cell: +27 (0) 73 007 5603  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</w:rPr>
      </w:pPr>
      <w:r w:rsidRPr="005D1909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5D1909">
          <w:rPr>
            <w:rStyle w:val="Hyperlink"/>
            <w:rFonts w:cs="Arial"/>
            <w:lang w:eastAsia="en-ZA"/>
          </w:rPr>
          <w:t>chantelleb@comptrib.co.za</w:t>
        </w:r>
      </w:hyperlink>
      <w:r w:rsidRPr="005D1909">
        <w:rPr>
          <w:rFonts w:cs="Arial"/>
        </w:rPr>
        <w:t xml:space="preserve">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color w:val="000000"/>
        </w:rPr>
      </w:pP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color w:val="000000"/>
        </w:rPr>
      </w:pP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>On Behalf Of: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B5013" w:rsidRPr="005D1909" w:rsidRDefault="007B5013" w:rsidP="007B5013">
      <w:pPr>
        <w:spacing w:after="0" w:line="276" w:lineRule="auto"/>
        <w:ind w:left="397" w:right="397"/>
        <w:jc w:val="both"/>
        <w:rPr>
          <w:rFonts w:cs="Arial"/>
        </w:rPr>
      </w:pPr>
      <w:r w:rsidRPr="005D1909">
        <w:rPr>
          <w:rFonts w:cs="Arial"/>
          <w:color w:val="000000"/>
          <w:lang w:eastAsia="en-ZA"/>
        </w:rPr>
        <w:t xml:space="preserve">E-Mail: </w:t>
      </w:r>
      <w:hyperlink r:id="rId7" w:history="1">
        <w:r w:rsidRPr="005D1909">
          <w:rPr>
            <w:rStyle w:val="Hyperlink"/>
            <w:rFonts w:cs="Arial"/>
            <w:lang w:eastAsia="en-ZA"/>
          </w:rPr>
          <w:t>LeratoM@comptrib.co.za</w:t>
        </w:r>
      </w:hyperlink>
    </w:p>
    <w:p w:rsidR="007B5013" w:rsidRPr="007B5013" w:rsidRDefault="007B5013" w:rsidP="007B5013">
      <w:pPr>
        <w:spacing w:before="240" w:after="0" w:line="276" w:lineRule="auto"/>
        <w:jc w:val="both"/>
        <w:rPr>
          <w:rFonts w:cs="Arial"/>
          <w:sz w:val="24"/>
          <w:szCs w:val="24"/>
        </w:rPr>
      </w:pPr>
    </w:p>
    <w:sectPr w:rsidR="007B5013" w:rsidRPr="007B5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36"/>
    <w:rsid w:val="00085A77"/>
    <w:rsid w:val="00103911"/>
    <w:rsid w:val="00191168"/>
    <w:rsid w:val="00192C4F"/>
    <w:rsid w:val="002D338E"/>
    <w:rsid w:val="003C165A"/>
    <w:rsid w:val="003C4E6A"/>
    <w:rsid w:val="00435E71"/>
    <w:rsid w:val="00482491"/>
    <w:rsid w:val="004D1060"/>
    <w:rsid w:val="006508F6"/>
    <w:rsid w:val="00653036"/>
    <w:rsid w:val="007B5013"/>
    <w:rsid w:val="0084791D"/>
    <w:rsid w:val="00856C36"/>
    <w:rsid w:val="009620C7"/>
    <w:rsid w:val="00A11D34"/>
    <w:rsid w:val="00A3797D"/>
    <w:rsid w:val="00AA6273"/>
    <w:rsid w:val="00B12DD3"/>
    <w:rsid w:val="00BA7271"/>
    <w:rsid w:val="00C04239"/>
    <w:rsid w:val="00E10B60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11DD1-86DC-4996-92B4-0F918601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7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listairV\AppData\Local\Microsoft\Windows\Temporary%20Internet%20Files\Content.Outlook\HMBET88G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F9E1-E89C-4BC7-B4C3-F2B310DE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Benjamin</dc:creator>
  <cp:lastModifiedBy>Chantelle Benjamin</cp:lastModifiedBy>
  <cp:revision>2</cp:revision>
  <dcterms:created xsi:type="dcterms:W3CDTF">2017-09-13T09:56:00Z</dcterms:created>
  <dcterms:modified xsi:type="dcterms:W3CDTF">2017-09-13T09:56:00Z</dcterms:modified>
</cp:coreProperties>
</file>