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EB2" w:rsidRPr="0070656D" w:rsidRDefault="0070656D" w:rsidP="0070656D">
      <w:pPr>
        <w:ind w:left="454" w:right="454"/>
        <w:jc w:val="center"/>
        <w:rPr>
          <w:rFonts w:ascii="Arial" w:hAnsi="Arial" w:cs="Arial"/>
        </w:rPr>
      </w:pPr>
      <w:r w:rsidRPr="0070656D">
        <w:rPr>
          <w:rFonts w:ascii="Arial" w:hAnsi="Arial" w:cs="Arial"/>
          <w:b/>
          <w:noProof/>
        </w:rPr>
        <w:drawing>
          <wp:inline distT="0" distB="0" distL="0" distR="0" wp14:anchorId="718D7C3C" wp14:editId="5BE4050D">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70656D" w:rsidRPr="0070656D" w:rsidRDefault="0070656D" w:rsidP="0070656D">
      <w:pPr>
        <w:ind w:left="454" w:right="454"/>
        <w:jc w:val="right"/>
        <w:rPr>
          <w:rFonts w:ascii="Arial" w:hAnsi="Arial" w:cs="Arial"/>
        </w:rPr>
      </w:pPr>
    </w:p>
    <w:p w:rsidR="0070656D" w:rsidRPr="0070656D" w:rsidRDefault="0070656D" w:rsidP="0070656D">
      <w:pPr>
        <w:ind w:left="454" w:right="454"/>
        <w:jc w:val="right"/>
        <w:rPr>
          <w:rFonts w:ascii="Arial" w:hAnsi="Arial" w:cs="Arial"/>
        </w:rPr>
      </w:pPr>
      <w:r w:rsidRPr="0070656D">
        <w:rPr>
          <w:rFonts w:ascii="Arial" w:hAnsi="Arial" w:cs="Arial"/>
        </w:rPr>
        <w:t>26 May, 2017</w:t>
      </w:r>
    </w:p>
    <w:p w:rsidR="0070656D" w:rsidRPr="0070656D" w:rsidRDefault="0070656D" w:rsidP="0070656D">
      <w:pPr>
        <w:ind w:left="454" w:right="454"/>
        <w:jc w:val="right"/>
        <w:rPr>
          <w:rFonts w:ascii="Arial" w:hAnsi="Arial" w:cs="Arial"/>
        </w:rPr>
      </w:pPr>
    </w:p>
    <w:p w:rsidR="0070656D" w:rsidRPr="0070656D" w:rsidRDefault="0070656D" w:rsidP="0070656D">
      <w:pPr>
        <w:ind w:left="454" w:right="454"/>
        <w:jc w:val="both"/>
        <w:rPr>
          <w:rFonts w:ascii="Arial" w:hAnsi="Arial" w:cs="Arial"/>
        </w:rPr>
      </w:pPr>
    </w:p>
    <w:p w:rsidR="0070656D" w:rsidRPr="0070656D" w:rsidRDefault="0070656D" w:rsidP="0070656D">
      <w:pPr>
        <w:ind w:left="454" w:right="454"/>
        <w:jc w:val="both"/>
        <w:rPr>
          <w:rFonts w:ascii="Arial" w:hAnsi="Arial" w:cs="Arial"/>
        </w:rPr>
      </w:pPr>
      <w:r w:rsidRPr="0070656D">
        <w:rPr>
          <w:rFonts w:ascii="Arial" w:hAnsi="Arial" w:cs="Arial"/>
        </w:rPr>
        <w:t xml:space="preserve">The Competition Tribunal (“Tribunal”) has approved a merger between EOH </w:t>
      </w:r>
      <w:proofErr w:type="spellStart"/>
      <w:r w:rsidRPr="0070656D">
        <w:rPr>
          <w:rFonts w:ascii="Arial" w:hAnsi="Arial" w:cs="Arial"/>
        </w:rPr>
        <w:t>Mthombo</w:t>
      </w:r>
      <w:proofErr w:type="spellEnd"/>
      <w:r w:rsidRPr="0070656D">
        <w:rPr>
          <w:rFonts w:ascii="Arial" w:hAnsi="Arial" w:cs="Arial"/>
        </w:rPr>
        <w:t xml:space="preserve"> Pty Ltd (“EOH”</w:t>
      </w:r>
      <w:proofErr w:type="gramStart"/>
      <w:r w:rsidRPr="0070656D">
        <w:rPr>
          <w:rFonts w:ascii="Arial" w:hAnsi="Arial" w:cs="Arial"/>
        </w:rPr>
        <w:t>)and</w:t>
      </w:r>
      <w:proofErr w:type="gramEnd"/>
      <w:r w:rsidRPr="0070656D">
        <w:rPr>
          <w:rFonts w:ascii="Arial" w:hAnsi="Arial" w:cs="Arial"/>
        </w:rPr>
        <w:t xml:space="preserve"> PricewaterhouseCoopers Combined Systems (Pty) Ltd (“Combined Systems”) without conditions. </w:t>
      </w:r>
    </w:p>
    <w:p w:rsidR="0070656D" w:rsidRPr="0070656D" w:rsidRDefault="0070656D" w:rsidP="0070656D">
      <w:pPr>
        <w:ind w:left="454" w:right="454"/>
        <w:jc w:val="both"/>
        <w:rPr>
          <w:rFonts w:ascii="Arial" w:hAnsi="Arial" w:cs="Arial"/>
        </w:rPr>
      </w:pPr>
      <w:r w:rsidRPr="0070656D">
        <w:rPr>
          <w:rFonts w:ascii="Arial" w:hAnsi="Arial" w:cs="Arial"/>
        </w:rPr>
        <w:t> </w:t>
      </w:r>
    </w:p>
    <w:p w:rsidR="0070656D" w:rsidRPr="0070656D" w:rsidRDefault="0070656D" w:rsidP="0070656D">
      <w:pPr>
        <w:ind w:left="454" w:right="454"/>
        <w:jc w:val="both"/>
        <w:rPr>
          <w:rFonts w:ascii="Arial" w:hAnsi="Arial" w:cs="Arial"/>
        </w:rPr>
      </w:pPr>
      <w:r w:rsidRPr="0070656D">
        <w:rPr>
          <w:rFonts w:ascii="Arial" w:hAnsi="Arial" w:cs="Arial"/>
        </w:rPr>
        <w:t>The Tribunal requested additional information from the Competition Commission (“Commission”) on the competitive dynamics in the markets for the provision of the fixed asset management services for both movable and immovable assets in which the merged entity would operate. The Tribunal specifically wanted more information from customers in relation to past tenders and an analysis of the tender data. The Tribunal furthermore requested that specific Government Departments be consulted such as the Department of Public Works and the Department of Water and Sanitation, as well as the Department of Defence. The Tribunal was satisfied with the additional information and analysis submitted by the Commission and could now approve the merger.</w:t>
      </w:r>
    </w:p>
    <w:p w:rsidR="0070656D" w:rsidRPr="0070656D" w:rsidRDefault="0070656D" w:rsidP="0070656D">
      <w:pPr>
        <w:ind w:left="454" w:right="454"/>
        <w:jc w:val="both"/>
        <w:rPr>
          <w:rFonts w:ascii="Arial" w:hAnsi="Arial" w:cs="Arial"/>
        </w:rPr>
      </w:pPr>
      <w:r w:rsidRPr="0070656D">
        <w:rPr>
          <w:rFonts w:ascii="Arial" w:hAnsi="Arial" w:cs="Arial"/>
        </w:rPr>
        <w:t> </w:t>
      </w:r>
    </w:p>
    <w:p w:rsidR="0070656D" w:rsidRPr="0070656D" w:rsidRDefault="0070656D" w:rsidP="0070656D">
      <w:pPr>
        <w:ind w:left="454" w:right="454"/>
        <w:jc w:val="both"/>
        <w:rPr>
          <w:rFonts w:ascii="Arial" w:hAnsi="Arial" w:cs="Arial"/>
        </w:rPr>
      </w:pPr>
      <w:r w:rsidRPr="0070656D">
        <w:rPr>
          <w:rFonts w:ascii="Arial" w:hAnsi="Arial" w:cs="Arial"/>
        </w:rPr>
        <w:t>EOH, a</w:t>
      </w:r>
      <w:r w:rsidRPr="0070656D">
        <w:rPr>
          <w:rFonts w:ascii="Arial" w:hAnsi="Arial" w:cs="Arial"/>
        </w:rPr>
        <w:t xml:space="preserve"> wholly-owned subsidiary of JSE-</w:t>
      </w:r>
      <w:r w:rsidRPr="0070656D">
        <w:rPr>
          <w:rFonts w:ascii="Arial" w:hAnsi="Arial" w:cs="Arial"/>
        </w:rPr>
        <w:t xml:space="preserve">listed EOH Holdings, implements enterprise solutions and has a range of IT services, software, IT infrastructure, industrial technologies and business outsourcing solutions. EOH Holdings is an investment company which conducts business through three major areas: consulting; technology (software and infrastructure) and outsourcing. </w:t>
      </w:r>
    </w:p>
    <w:p w:rsidR="0070656D" w:rsidRPr="0070656D" w:rsidRDefault="0070656D" w:rsidP="0070656D">
      <w:pPr>
        <w:ind w:left="454" w:right="454"/>
        <w:jc w:val="both"/>
        <w:rPr>
          <w:rFonts w:ascii="Arial" w:hAnsi="Arial" w:cs="Arial"/>
        </w:rPr>
      </w:pPr>
      <w:r w:rsidRPr="0070656D">
        <w:rPr>
          <w:rFonts w:ascii="Arial" w:hAnsi="Arial" w:cs="Arial"/>
        </w:rPr>
        <w:t> </w:t>
      </w:r>
    </w:p>
    <w:p w:rsidR="0070656D" w:rsidRPr="0070656D" w:rsidRDefault="0070656D" w:rsidP="0070656D">
      <w:pPr>
        <w:ind w:left="454" w:right="454"/>
        <w:jc w:val="both"/>
        <w:rPr>
          <w:rFonts w:ascii="Arial" w:hAnsi="Arial" w:cs="Arial"/>
        </w:rPr>
      </w:pPr>
      <w:r w:rsidRPr="0070656D">
        <w:rPr>
          <w:rFonts w:ascii="Arial" w:hAnsi="Arial" w:cs="Arial"/>
        </w:rPr>
        <w:t xml:space="preserve">Combined Systems is wholly owned by PWC. Combined Systems is a fixed asset management and assets tracking business that offers fixed asset verification and bar coding services, software which </w:t>
      </w:r>
      <w:r w:rsidRPr="0070656D">
        <w:rPr>
          <w:rFonts w:ascii="Arial" w:hAnsi="Arial" w:cs="Arial"/>
        </w:rPr>
        <w:t xml:space="preserve">enables </w:t>
      </w:r>
      <w:r w:rsidRPr="0070656D">
        <w:rPr>
          <w:rFonts w:ascii="Arial" w:hAnsi="Arial" w:cs="Arial"/>
        </w:rPr>
        <w:t>asset verification</w:t>
      </w:r>
      <w:r w:rsidRPr="0070656D">
        <w:rPr>
          <w:rFonts w:ascii="Arial" w:hAnsi="Arial" w:cs="Arial"/>
        </w:rPr>
        <w:t>,</w:t>
      </w:r>
      <w:r w:rsidRPr="0070656D">
        <w:rPr>
          <w:rFonts w:ascii="Arial" w:hAnsi="Arial" w:cs="Arial"/>
        </w:rPr>
        <w:t xml:space="preserve"> and consulting services aimed at developing fixed asset registers, determining the lifecycles of various assets, develop</w:t>
      </w:r>
      <w:r w:rsidRPr="0070656D">
        <w:rPr>
          <w:rFonts w:ascii="Arial" w:hAnsi="Arial" w:cs="Arial"/>
        </w:rPr>
        <w:t>ing</w:t>
      </w:r>
      <w:r w:rsidRPr="0070656D">
        <w:rPr>
          <w:rFonts w:ascii="Arial" w:hAnsi="Arial" w:cs="Arial"/>
        </w:rPr>
        <w:t xml:space="preserve"> standard operating procedures and other services pertaining to audit compliance support. </w:t>
      </w:r>
    </w:p>
    <w:p w:rsidR="0070656D" w:rsidRPr="0070656D" w:rsidRDefault="0070656D" w:rsidP="0070656D">
      <w:pPr>
        <w:ind w:left="454" w:right="454"/>
        <w:jc w:val="both"/>
        <w:rPr>
          <w:rFonts w:ascii="Arial" w:hAnsi="Arial" w:cs="Arial"/>
        </w:rPr>
      </w:pPr>
    </w:p>
    <w:p w:rsidR="0070656D" w:rsidRPr="0070656D" w:rsidRDefault="0070656D" w:rsidP="0070656D">
      <w:pPr>
        <w:ind w:left="454" w:right="454"/>
        <w:jc w:val="both"/>
        <w:rPr>
          <w:rFonts w:ascii="Arial" w:hAnsi="Arial" w:cs="Arial"/>
        </w:rPr>
      </w:pPr>
      <w:r w:rsidRPr="0070656D">
        <w:rPr>
          <w:rFonts w:ascii="Arial" w:hAnsi="Arial" w:cs="Arial"/>
        </w:rPr>
        <w:t xml:space="preserve">Post-merger EOH will have sole control over Combined Systems. </w:t>
      </w:r>
    </w:p>
    <w:p w:rsidR="0070656D" w:rsidRPr="0070656D" w:rsidRDefault="0070656D" w:rsidP="0070656D">
      <w:pPr>
        <w:ind w:left="454" w:right="454"/>
        <w:jc w:val="both"/>
        <w:rPr>
          <w:rFonts w:ascii="Arial" w:hAnsi="Arial" w:cs="Arial"/>
        </w:rPr>
      </w:pPr>
    </w:p>
    <w:p w:rsidR="0070656D" w:rsidRDefault="0070656D" w:rsidP="0070656D">
      <w:pPr>
        <w:ind w:left="454" w:right="454"/>
        <w:jc w:val="both"/>
        <w:rPr>
          <w:rFonts w:ascii="Arial" w:hAnsi="Arial" w:cs="Arial"/>
          <w:lang w:val="en-US"/>
        </w:rPr>
      </w:pPr>
      <w:r w:rsidRPr="0070656D">
        <w:rPr>
          <w:rFonts w:ascii="Arial" w:hAnsi="Arial" w:cs="Arial"/>
          <w:color w:val="000000"/>
          <w:lang w:val="en-US"/>
        </w:rPr>
        <w:t xml:space="preserve">Issued by: </w:t>
      </w:r>
    </w:p>
    <w:p w:rsidR="0070656D" w:rsidRPr="0070656D" w:rsidRDefault="0070656D" w:rsidP="0070656D">
      <w:pPr>
        <w:ind w:left="454" w:right="454"/>
        <w:jc w:val="both"/>
        <w:rPr>
          <w:rFonts w:ascii="Arial" w:hAnsi="Arial" w:cs="Arial"/>
          <w:lang w:val="en-US"/>
        </w:rPr>
      </w:pPr>
      <w:r w:rsidRPr="0070656D">
        <w:rPr>
          <w:rFonts w:ascii="Arial" w:hAnsi="Arial" w:cs="Arial"/>
          <w:color w:val="000000"/>
          <w:lang w:val="en-US"/>
        </w:rPr>
        <w:t xml:space="preserve">Chantelle Benjamin </w:t>
      </w:r>
    </w:p>
    <w:p w:rsidR="0070656D" w:rsidRPr="0070656D" w:rsidRDefault="0070656D" w:rsidP="0070656D">
      <w:pPr>
        <w:ind w:left="454" w:right="454"/>
        <w:jc w:val="both"/>
        <w:rPr>
          <w:rFonts w:ascii="Arial" w:hAnsi="Arial" w:cs="Arial"/>
          <w:color w:val="000000"/>
          <w:lang w:val="en-US"/>
        </w:rPr>
      </w:pPr>
      <w:r w:rsidRPr="0070656D">
        <w:rPr>
          <w:rFonts w:ascii="Arial" w:hAnsi="Arial" w:cs="Arial"/>
          <w:color w:val="000000"/>
          <w:lang w:val="en-US"/>
        </w:rPr>
        <w:t>Communications: Competition Tribunal   </w:t>
      </w:r>
    </w:p>
    <w:p w:rsidR="0070656D" w:rsidRPr="0070656D" w:rsidRDefault="0070656D" w:rsidP="0070656D">
      <w:pPr>
        <w:ind w:left="454" w:right="454"/>
        <w:jc w:val="both"/>
        <w:rPr>
          <w:rFonts w:ascii="Arial" w:hAnsi="Arial" w:cs="Arial"/>
          <w:color w:val="000000"/>
          <w:lang w:val="en-US"/>
        </w:rPr>
      </w:pPr>
      <w:r w:rsidRPr="0070656D">
        <w:rPr>
          <w:rFonts w:ascii="Arial" w:hAnsi="Arial" w:cs="Arial"/>
          <w:color w:val="000000"/>
          <w:lang w:val="en-US"/>
        </w:rPr>
        <w:t xml:space="preserve">Tel (012)394 1383                                      </w:t>
      </w:r>
    </w:p>
    <w:p w:rsidR="0070656D" w:rsidRPr="0070656D" w:rsidRDefault="0070656D" w:rsidP="0070656D">
      <w:pPr>
        <w:ind w:left="454" w:right="454"/>
        <w:jc w:val="both"/>
        <w:rPr>
          <w:rFonts w:ascii="Arial" w:hAnsi="Arial" w:cs="Arial"/>
          <w:color w:val="000000"/>
          <w:lang w:val="en-US"/>
        </w:rPr>
      </w:pPr>
      <w:r w:rsidRPr="0070656D">
        <w:rPr>
          <w:rFonts w:ascii="Arial" w:hAnsi="Arial" w:cs="Arial"/>
          <w:color w:val="000000"/>
          <w:lang w:val="en-US"/>
        </w:rPr>
        <w:t>Cell: +27 (0) 73 007 5603  </w:t>
      </w:r>
    </w:p>
    <w:p w:rsidR="0070656D" w:rsidRPr="0070656D" w:rsidRDefault="0070656D" w:rsidP="0070656D">
      <w:pPr>
        <w:ind w:left="454" w:right="454"/>
        <w:jc w:val="both"/>
        <w:rPr>
          <w:rFonts w:ascii="Arial" w:hAnsi="Arial" w:cs="Arial"/>
          <w:lang w:val="en-US"/>
        </w:rPr>
      </w:pPr>
      <w:r w:rsidRPr="0070656D">
        <w:rPr>
          <w:rFonts w:ascii="Arial" w:hAnsi="Arial" w:cs="Arial"/>
          <w:color w:val="000000"/>
          <w:lang w:val="en-US"/>
        </w:rPr>
        <w:t>Twitter: @</w:t>
      </w:r>
      <w:proofErr w:type="spellStart"/>
      <w:r w:rsidRPr="0070656D">
        <w:rPr>
          <w:rFonts w:ascii="Arial" w:hAnsi="Arial" w:cs="Arial"/>
          <w:color w:val="000000"/>
          <w:lang w:val="en-US"/>
        </w:rPr>
        <w:t>comptrib</w:t>
      </w:r>
      <w:proofErr w:type="spellEnd"/>
      <w:r w:rsidRPr="0070656D">
        <w:rPr>
          <w:rFonts w:ascii="Arial" w:hAnsi="Arial" w:cs="Arial"/>
          <w:color w:val="000000"/>
          <w:lang w:val="en-US"/>
        </w:rPr>
        <w:t xml:space="preserve">                                        </w:t>
      </w:r>
    </w:p>
    <w:p w:rsidR="0070656D" w:rsidRPr="0070656D" w:rsidRDefault="0070656D" w:rsidP="0070656D">
      <w:pPr>
        <w:ind w:left="454" w:right="454"/>
        <w:jc w:val="both"/>
        <w:rPr>
          <w:rFonts w:ascii="Arial" w:hAnsi="Arial" w:cs="Arial"/>
          <w:lang w:val="en-US"/>
        </w:rPr>
      </w:pPr>
      <w:r w:rsidRPr="0070656D">
        <w:rPr>
          <w:rFonts w:ascii="Arial" w:hAnsi="Arial" w:cs="Arial"/>
          <w:color w:val="000000"/>
          <w:lang w:val="en-US"/>
        </w:rPr>
        <w:t xml:space="preserve">E-Mail: </w:t>
      </w:r>
      <w:hyperlink r:id="rId5" w:history="1">
        <w:r w:rsidRPr="0070656D">
          <w:rPr>
            <w:rStyle w:val="Hyperlink"/>
            <w:rFonts w:ascii="Arial" w:hAnsi="Arial" w:cs="Arial"/>
            <w:lang w:val="en-US"/>
          </w:rPr>
          <w:t>chantelleb@comptrib.co.za</w:t>
        </w:r>
      </w:hyperlink>
      <w:r w:rsidRPr="0070656D">
        <w:rPr>
          <w:rFonts w:ascii="Arial" w:hAnsi="Arial" w:cs="Arial"/>
          <w:lang w:val="en-US"/>
        </w:rPr>
        <w:t xml:space="preserve"> </w:t>
      </w:r>
    </w:p>
    <w:p w:rsidR="0070656D" w:rsidRPr="0070656D" w:rsidRDefault="0070656D" w:rsidP="0070656D">
      <w:pPr>
        <w:ind w:left="454" w:right="454"/>
        <w:jc w:val="both"/>
        <w:rPr>
          <w:rFonts w:ascii="Arial" w:hAnsi="Arial" w:cs="Arial"/>
          <w:color w:val="000000"/>
          <w:lang w:val="en-US"/>
        </w:rPr>
      </w:pPr>
    </w:p>
    <w:p w:rsidR="0070656D" w:rsidRPr="0070656D" w:rsidRDefault="0070656D" w:rsidP="0070656D">
      <w:pPr>
        <w:ind w:left="454" w:right="454"/>
        <w:jc w:val="both"/>
        <w:rPr>
          <w:rFonts w:ascii="Arial" w:hAnsi="Arial" w:cs="Arial"/>
          <w:color w:val="000000"/>
          <w:lang w:val="en-US"/>
        </w:rPr>
      </w:pPr>
    </w:p>
    <w:p w:rsidR="0070656D" w:rsidRPr="0070656D" w:rsidRDefault="0070656D" w:rsidP="0070656D">
      <w:pPr>
        <w:ind w:left="454" w:right="454"/>
        <w:jc w:val="both"/>
        <w:rPr>
          <w:rFonts w:ascii="Arial" w:hAnsi="Arial" w:cs="Arial"/>
          <w:lang w:val="en-US"/>
        </w:rPr>
      </w:pPr>
      <w:r w:rsidRPr="0070656D">
        <w:rPr>
          <w:rFonts w:ascii="Arial" w:hAnsi="Arial" w:cs="Arial"/>
          <w:color w:val="000000"/>
          <w:lang w:val="en-US"/>
        </w:rPr>
        <w:t>On Behalf Of:</w:t>
      </w:r>
    </w:p>
    <w:p w:rsidR="0070656D" w:rsidRPr="0070656D" w:rsidRDefault="0070656D" w:rsidP="0070656D">
      <w:pPr>
        <w:ind w:left="454" w:right="454"/>
        <w:jc w:val="both"/>
        <w:rPr>
          <w:rFonts w:ascii="Arial" w:hAnsi="Arial" w:cs="Arial"/>
          <w:lang w:val="en-US"/>
        </w:rPr>
      </w:pPr>
      <w:r w:rsidRPr="0070656D">
        <w:rPr>
          <w:rFonts w:ascii="Arial" w:hAnsi="Arial" w:cs="Arial"/>
          <w:color w:val="000000"/>
          <w:lang w:val="en-US"/>
        </w:rPr>
        <w:t>Lerato Motaung                                                   </w:t>
      </w:r>
    </w:p>
    <w:p w:rsidR="0070656D" w:rsidRPr="0070656D" w:rsidRDefault="0070656D" w:rsidP="0070656D">
      <w:pPr>
        <w:ind w:left="454" w:right="454"/>
        <w:jc w:val="both"/>
        <w:rPr>
          <w:rFonts w:ascii="Arial" w:hAnsi="Arial" w:cs="Arial"/>
          <w:lang w:val="en-US"/>
        </w:rPr>
      </w:pPr>
      <w:r w:rsidRPr="0070656D">
        <w:rPr>
          <w:rFonts w:ascii="Arial" w:hAnsi="Arial" w:cs="Arial"/>
          <w:color w:val="000000"/>
          <w:lang w:val="en-US"/>
        </w:rPr>
        <w:t xml:space="preserve">Registrar: Competition Tribunal                                         </w:t>
      </w:r>
    </w:p>
    <w:p w:rsidR="0070656D" w:rsidRPr="0070656D" w:rsidRDefault="0070656D" w:rsidP="0070656D">
      <w:pPr>
        <w:ind w:left="454" w:right="454"/>
        <w:jc w:val="both"/>
        <w:rPr>
          <w:rFonts w:ascii="Arial" w:hAnsi="Arial" w:cs="Arial"/>
          <w:lang w:val="en-US"/>
        </w:rPr>
      </w:pPr>
      <w:r w:rsidRPr="0070656D">
        <w:rPr>
          <w:rFonts w:ascii="Arial" w:hAnsi="Arial" w:cs="Arial"/>
          <w:color w:val="000000"/>
          <w:lang w:val="en-US"/>
        </w:rPr>
        <w:t xml:space="preserve">Tel: (012) 394 3355                                              </w:t>
      </w:r>
    </w:p>
    <w:p w:rsidR="0070656D" w:rsidRPr="0070656D" w:rsidRDefault="0070656D" w:rsidP="0070656D">
      <w:pPr>
        <w:ind w:left="454" w:right="454"/>
        <w:jc w:val="both"/>
        <w:rPr>
          <w:rFonts w:ascii="Arial" w:hAnsi="Arial" w:cs="Arial"/>
          <w:lang w:val="en-US"/>
        </w:rPr>
      </w:pPr>
      <w:r w:rsidRPr="0070656D">
        <w:rPr>
          <w:rFonts w:ascii="Arial" w:hAnsi="Arial" w:cs="Arial"/>
          <w:color w:val="000000"/>
          <w:lang w:val="en-US"/>
        </w:rPr>
        <w:t xml:space="preserve">Cell: +27 (0) 82 556 3221                                               </w:t>
      </w:r>
    </w:p>
    <w:p w:rsidR="0070656D" w:rsidRPr="0070656D" w:rsidRDefault="0070656D" w:rsidP="0070656D">
      <w:pPr>
        <w:ind w:left="454" w:right="454"/>
        <w:jc w:val="both"/>
        <w:rPr>
          <w:rFonts w:ascii="Arial" w:hAnsi="Arial" w:cs="Arial"/>
          <w:lang w:val="en-US"/>
        </w:rPr>
      </w:pPr>
      <w:r w:rsidRPr="0070656D">
        <w:rPr>
          <w:rFonts w:ascii="Arial" w:hAnsi="Arial" w:cs="Arial"/>
          <w:color w:val="000000"/>
          <w:lang w:val="en-US"/>
        </w:rPr>
        <w:t xml:space="preserve">E-Mail: </w:t>
      </w:r>
      <w:hyperlink r:id="rId6" w:history="1">
        <w:r w:rsidRPr="0070656D">
          <w:rPr>
            <w:rStyle w:val="Hyperlink"/>
            <w:rFonts w:ascii="Arial" w:hAnsi="Arial" w:cs="Arial"/>
            <w:lang w:val="en-US"/>
          </w:rPr>
          <w:t>LeratoM@comptrib.co.za</w:t>
        </w:r>
      </w:hyperlink>
    </w:p>
    <w:p w:rsidR="0070656D" w:rsidRPr="0070656D" w:rsidRDefault="0070656D">
      <w:pPr>
        <w:rPr>
          <w:rFonts w:ascii="Arial" w:hAnsi="Arial" w:cs="Arial"/>
        </w:rPr>
      </w:pPr>
    </w:p>
    <w:sectPr w:rsidR="0070656D" w:rsidRPr="00706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6D"/>
    <w:rsid w:val="003C165A"/>
    <w:rsid w:val="00482491"/>
    <w:rsid w:val="007065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1735748-3488-4235-AB22-7A645EB5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56D"/>
    <w:pPr>
      <w:spacing w:after="0" w:line="240" w:lineRule="auto"/>
    </w:pPr>
    <w:rPr>
      <w:rFonts w:ascii="Calibri" w:hAnsi="Calibri" w:cs="Times New Roman"/>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656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399408">
      <w:bodyDiv w:val="1"/>
      <w:marLeft w:val="0"/>
      <w:marRight w:val="0"/>
      <w:marTop w:val="0"/>
      <w:marBottom w:val="0"/>
      <w:divBdr>
        <w:top w:val="none" w:sz="0" w:space="0" w:color="auto"/>
        <w:left w:val="none" w:sz="0" w:space="0" w:color="auto"/>
        <w:bottom w:val="none" w:sz="0" w:space="0" w:color="auto"/>
        <w:right w:val="none" w:sz="0" w:space="0" w:color="auto"/>
      </w:divBdr>
    </w:div>
    <w:div w:id="193528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
  <cp:revision>1</cp:revision>
  <dcterms:created xsi:type="dcterms:W3CDTF">2017-05-26T13:44:00Z</dcterms:created>
</cp:coreProperties>
</file>