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1AF" w:rsidRDefault="007B51AF" w:rsidP="007B51A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US"/>
        </w:rPr>
        <w:drawing>
          <wp:inline distT="0" distB="0" distL="0" distR="0" wp14:anchorId="3B1FEB86" wp14:editId="529B3637">
            <wp:extent cx="1083945" cy="733425"/>
            <wp:effectExtent l="0" t="0" r="190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_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431" cy="73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1AF" w:rsidRDefault="007B51AF" w:rsidP="007B51AF">
      <w:pPr>
        <w:spacing w:after="0" w:line="240" w:lineRule="auto"/>
        <w:jc w:val="center"/>
        <w:rPr>
          <w:rFonts w:ascii="Arial" w:hAnsi="Arial" w:cs="Arial"/>
          <w:b/>
        </w:rPr>
      </w:pPr>
    </w:p>
    <w:p w:rsidR="007B51AF" w:rsidRDefault="007B51AF" w:rsidP="007B51AF">
      <w:pPr>
        <w:spacing w:after="0" w:line="240" w:lineRule="auto"/>
        <w:jc w:val="center"/>
        <w:rPr>
          <w:rFonts w:ascii="Arial" w:hAnsi="Arial" w:cs="Arial"/>
          <w:b/>
        </w:rPr>
      </w:pPr>
    </w:p>
    <w:p w:rsidR="007B51AF" w:rsidRPr="00E41BF5" w:rsidRDefault="007B51AF" w:rsidP="007B51AF">
      <w:pPr>
        <w:spacing w:after="0" w:line="240" w:lineRule="auto"/>
        <w:jc w:val="center"/>
        <w:rPr>
          <w:rFonts w:ascii="Arial" w:hAnsi="Arial" w:cs="Arial"/>
          <w:b/>
        </w:rPr>
      </w:pPr>
    </w:p>
    <w:p w:rsidR="007B51AF" w:rsidRPr="00E02933" w:rsidRDefault="00AE6B08" w:rsidP="007B51A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OUTCOME OF </w:t>
      </w:r>
      <w:r w:rsidR="007B51AF" w:rsidRPr="00E02933">
        <w:rPr>
          <w:rFonts w:ascii="Arial" w:hAnsi="Arial" w:cs="Arial"/>
          <w:b/>
        </w:rPr>
        <w:t>CASE</w:t>
      </w:r>
      <w:r>
        <w:rPr>
          <w:rFonts w:ascii="Arial" w:hAnsi="Arial" w:cs="Arial"/>
          <w:b/>
        </w:rPr>
        <w:t>S</w:t>
      </w:r>
      <w:r w:rsidR="007B51AF" w:rsidRPr="00E02933">
        <w:rPr>
          <w:rFonts w:ascii="Arial" w:hAnsi="Arial" w:cs="Arial"/>
          <w:b/>
        </w:rPr>
        <w:t xml:space="preserve"> - TRIBUNAL ROLL FOR WEDNESDAY, </w:t>
      </w:r>
      <w:r w:rsidR="007B51AF">
        <w:rPr>
          <w:rFonts w:ascii="Arial" w:hAnsi="Arial" w:cs="Arial"/>
          <w:b/>
        </w:rPr>
        <w:t>17 FEBRUARY 2016</w:t>
      </w:r>
    </w:p>
    <w:p w:rsidR="007B51AF" w:rsidRPr="00E02933" w:rsidRDefault="007B51AF" w:rsidP="007B51AF">
      <w:pPr>
        <w:spacing w:after="0" w:line="240" w:lineRule="auto"/>
        <w:jc w:val="both"/>
        <w:rPr>
          <w:rFonts w:ascii="Arial" w:hAnsi="Arial" w:cs="Arial"/>
          <w:b/>
        </w:rPr>
      </w:pPr>
    </w:p>
    <w:p w:rsidR="007B51AF" w:rsidRPr="00E02933" w:rsidRDefault="007B51AF" w:rsidP="007B51AF">
      <w:pPr>
        <w:spacing w:after="0" w:line="240" w:lineRule="auto"/>
        <w:jc w:val="both"/>
        <w:rPr>
          <w:rFonts w:ascii="Arial" w:hAnsi="Arial" w:cs="Arial"/>
          <w:b/>
        </w:rPr>
      </w:pPr>
    </w:p>
    <w:p w:rsidR="007B51AF" w:rsidRPr="00E02933" w:rsidRDefault="007B51AF" w:rsidP="007B51AF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10075" w:type="dxa"/>
        <w:tblBorders>
          <w:top w:val="single" w:sz="4" w:space="0" w:color="996633"/>
          <w:left w:val="single" w:sz="4" w:space="0" w:color="996633"/>
          <w:bottom w:val="single" w:sz="4" w:space="0" w:color="996633"/>
          <w:right w:val="single" w:sz="4" w:space="0" w:color="996633"/>
          <w:insideH w:val="single" w:sz="4" w:space="0" w:color="996633"/>
          <w:insideV w:val="single" w:sz="4" w:space="0" w:color="996633"/>
        </w:tblBorders>
        <w:tblLook w:val="04A0" w:firstRow="1" w:lastRow="0" w:firstColumn="1" w:lastColumn="0" w:noHBand="0" w:noVBand="1"/>
      </w:tblPr>
      <w:tblGrid>
        <w:gridCol w:w="3153"/>
        <w:gridCol w:w="3198"/>
        <w:gridCol w:w="3724"/>
      </w:tblGrid>
      <w:tr w:rsidR="007B51AF" w:rsidRPr="00E02933" w:rsidTr="0083193C">
        <w:trPr>
          <w:trHeight w:val="972"/>
        </w:trPr>
        <w:tc>
          <w:tcPr>
            <w:tcW w:w="3153" w:type="dxa"/>
            <w:shd w:val="clear" w:color="auto" w:fill="996633"/>
          </w:tcPr>
          <w:p w:rsidR="007B51AF" w:rsidRPr="00E02933" w:rsidRDefault="007B51AF" w:rsidP="0083193C">
            <w:pPr>
              <w:rPr>
                <w:rFonts w:ascii="Arial" w:hAnsi="Arial" w:cs="Arial"/>
                <w:color w:val="FFFFFF" w:themeColor="background1"/>
              </w:rPr>
            </w:pPr>
            <w:r w:rsidRPr="00E02933">
              <w:rPr>
                <w:rFonts w:ascii="Arial" w:hAnsi="Arial" w:cs="Arial"/>
                <w:color w:val="FFFFFF" w:themeColor="background1"/>
              </w:rPr>
              <w:t>Type of matter</w:t>
            </w:r>
          </w:p>
        </w:tc>
        <w:tc>
          <w:tcPr>
            <w:tcW w:w="3198" w:type="dxa"/>
            <w:shd w:val="clear" w:color="auto" w:fill="996633"/>
          </w:tcPr>
          <w:p w:rsidR="007B51AF" w:rsidRPr="00E02933" w:rsidRDefault="007B51AF" w:rsidP="0083193C">
            <w:pPr>
              <w:rPr>
                <w:rFonts w:ascii="Arial" w:hAnsi="Arial" w:cs="Arial"/>
                <w:color w:val="FFFFFF" w:themeColor="background1"/>
              </w:rPr>
            </w:pPr>
            <w:r w:rsidRPr="00E02933">
              <w:rPr>
                <w:rFonts w:ascii="Arial" w:hAnsi="Arial" w:cs="Arial"/>
                <w:color w:val="FFFFFF" w:themeColor="background1"/>
              </w:rPr>
              <w:t>Parties involved</w:t>
            </w:r>
          </w:p>
        </w:tc>
        <w:tc>
          <w:tcPr>
            <w:tcW w:w="3724" w:type="dxa"/>
            <w:shd w:val="clear" w:color="auto" w:fill="996633"/>
          </w:tcPr>
          <w:p w:rsidR="007B51AF" w:rsidRPr="00E02933" w:rsidRDefault="007B51AF" w:rsidP="0083193C">
            <w:pPr>
              <w:rPr>
                <w:rFonts w:ascii="Arial" w:hAnsi="Arial" w:cs="Arial"/>
                <w:color w:val="FFFFFF" w:themeColor="background1"/>
              </w:rPr>
            </w:pPr>
            <w:r w:rsidRPr="00E02933">
              <w:rPr>
                <w:rFonts w:ascii="Arial" w:hAnsi="Arial" w:cs="Arial"/>
                <w:color w:val="FFFFFF" w:themeColor="background1"/>
              </w:rPr>
              <w:t>Competition Commission’s recommendation to Tribunal</w:t>
            </w:r>
          </w:p>
        </w:tc>
      </w:tr>
      <w:tr w:rsidR="007B51AF" w:rsidRPr="00E02933" w:rsidTr="0083193C">
        <w:trPr>
          <w:trHeight w:val="493"/>
        </w:trPr>
        <w:tc>
          <w:tcPr>
            <w:tcW w:w="3153" w:type="dxa"/>
          </w:tcPr>
          <w:p w:rsidR="007B51AF" w:rsidRPr="00E02933" w:rsidRDefault="007B51AF" w:rsidP="008319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Consent agreement</w:t>
            </w:r>
          </w:p>
        </w:tc>
        <w:tc>
          <w:tcPr>
            <w:tcW w:w="3198" w:type="dxa"/>
          </w:tcPr>
          <w:p w:rsidR="007B51AF" w:rsidRPr="00326F6C" w:rsidRDefault="007B51AF" w:rsidP="0083193C">
            <w:pPr>
              <w:jc w:val="both"/>
              <w:rPr>
                <w:rFonts w:ascii="Arial" w:hAnsi="Arial" w:cs="Arial"/>
              </w:rPr>
            </w:pPr>
            <w:r w:rsidRPr="00326F6C">
              <w:rPr>
                <w:rFonts w:ascii="Arial" w:hAnsi="Arial" w:cs="Arial"/>
              </w:rPr>
              <w:t>Competition Commission and Key Moves CC</w:t>
            </w:r>
          </w:p>
        </w:tc>
        <w:tc>
          <w:tcPr>
            <w:tcW w:w="3724" w:type="dxa"/>
          </w:tcPr>
          <w:p w:rsidR="007B51AF" w:rsidRPr="00E02933" w:rsidRDefault="007B51AF" w:rsidP="008319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Consent agreement</w:t>
            </w:r>
          </w:p>
        </w:tc>
      </w:tr>
      <w:tr w:rsidR="007B51AF" w:rsidRPr="00E02933" w:rsidTr="0083193C">
        <w:trPr>
          <w:trHeight w:val="726"/>
        </w:trPr>
        <w:tc>
          <w:tcPr>
            <w:tcW w:w="3153" w:type="dxa"/>
          </w:tcPr>
          <w:p w:rsidR="007B51AF" w:rsidRPr="00E02933" w:rsidRDefault="007B51AF" w:rsidP="0083193C">
            <w:pPr>
              <w:jc w:val="both"/>
              <w:rPr>
                <w:rFonts w:ascii="Arial" w:hAnsi="Arial" w:cs="Arial"/>
              </w:rPr>
            </w:pPr>
            <w:r w:rsidRPr="00E02933">
              <w:rPr>
                <w:rFonts w:ascii="Arial" w:hAnsi="Arial" w:cs="Arial"/>
              </w:rPr>
              <w:t xml:space="preserve">Large merger </w:t>
            </w:r>
          </w:p>
        </w:tc>
        <w:tc>
          <w:tcPr>
            <w:tcW w:w="3198" w:type="dxa"/>
          </w:tcPr>
          <w:p w:rsidR="007B51AF" w:rsidRPr="00326F6C" w:rsidRDefault="007B51AF" w:rsidP="0083193C">
            <w:pPr>
              <w:jc w:val="both"/>
              <w:rPr>
                <w:rFonts w:ascii="Arial" w:hAnsi="Arial" w:cs="Arial"/>
                <w:color w:val="000000"/>
              </w:rPr>
            </w:pPr>
            <w:r w:rsidRPr="00326F6C">
              <w:rPr>
                <w:rFonts w:ascii="Arial" w:hAnsi="Arial" w:cs="Arial"/>
              </w:rPr>
              <w:t>Winter Robin Investment 26 Proprietary Limited and Development Right Situated at Pocket 24 of the Waterfall Business Estate</w:t>
            </w:r>
          </w:p>
        </w:tc>
        <w:tc>
          <w:tcPr>
            <w:tcW w:w="3724" w:type="dxa"/>
          </w:tcPr>
          <w:p w:rsidR="007B51AF" w:rsidRPr="00E02933" w:rsidRDefault="007B51AF" w:rsidP="008319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Approval without conditions</w:t>
            </w:r>
          </w:p>
        </w:tc>
      </w:tr>
      <w:tr w:rsidR="007B51AF" w:rsidRPr="00E02933" w:rsidTr="0083193C">
        <w:trPr>
          <w:trHeight w:val="726"/>
        </w:trPr>
        <w:tc>
          <w:tcPr>
            <w:tcW w:w="3153" w:type="dxa"/>
          </w:tcPr>
          <w:p w:rsidR="007B51AF" w:rsidRPr="00E02933" w:rsidRDefault="007B51AF" w:rsidP="008319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Large merger</w:t>
            </w:r>
          </w:p>
        </w:tc>
        <w:tc>
          <w:tcPr>
            <w:tcW w:w="3198" w:type="dxa"/>
          </w:tcPr>
          <w:p w:rsidR="007B51AF" w:rsidRPr="00326F6C" w:rsidRDefault="007B51AF" w:rsidP="0083193C">
            <w:pPr>
              <w:jc w:val="both"/>
              <w:rPr>
                <w:rFonts w:ascii="Arial" w:hAnsi="Arial" w:cs="Arial"/>
                <w:color w:val="000000"/>
              </w:rPr>
            </w:pPr>
            <w:r w:rsidRPr="00326F6C">
              <w:rPr>
                <w:rFonts w:ascii="Arial" w:hAnsi="Arial" w:cs="Arial"/>
              </w:rPr>
              <w:t>The Government Employees Pension Fund, duly represented herein by the Public Investment Corporation SOC Limited and Mining Oil and Gas Services Proprietary Limited</w:t>
            </w:r>
          </w:p>
        </w:tc>
        <w:tc>
          <w:tcPr>
            <w:tcW w:w="3724" w:type="dxa"/>
          </w:tcPr>
          <w:p w:rsidR="007B51AF" w:rsidRPr="00E02933" w:rsidRDefault="007B51AF" w:rsidP="008319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Approval without conditions</w:t>
            </w:r>
          </w:p>
        </w:tc>
      </w:tr>
    </w:tbl>
    <w:p w:rsidR="007B51AF" w:rsidRDefault="007B51AF" w:rsidP="007B51AF">
      <w:pPr>
        <w:spacing w:after="0" w:line="240" w:lineRule="auto"/>
        <w:jc w:val="both"/>
      </w:pPr>
    </w:p>
    <w:p w:rsidR="007B51AF" w:rsidRDefault="007B51AF" w:rsidP="007B51A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Competition </w:t>
      </w:r>
      <w:r w:rsidR="003A27DC">
        <w:rPr>
          <w:rFonts w:ascii="Arial" w:hAnsi="Arial" w:cs="Arial"/>
        </w:rPr>
        <w:t>Tribunal has approved a</w:t>
      </w:r>
      <w:r w:rsidR="00AE6B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consent agreement with furniture removal company </w:t>
      </w:r>
      <w:r w:rsidRPr="00AF095B">
        <w:rPr>
          <w:rFonts w:ascii="Arial" w:hAnsi="Arial" w:cs="Arial"/>
          <w:b/>
        </w:rPr>
        <w:t>Key Moves CC</w:t>
      </w:r>
      <w:r>
        <w:rPr>
          <w:rFonts w:ascii="Arial" w:hAnsi="Arial" w:cs="Arial"/>
        </w:rPr>
        <w:t xml:space="preserve">. The company stands accused of engaging in two instances of collusion in 2007 with a competitor </w:t>
      </w:r>
      <w:proofErr w:type="spellStart"/>
      <w:r>
        <w:rPr>
          <w:rFonts w:ascii="Arial" w:hAnsi="Arial" w:cs="Arial"/>
        </w:rPr>
        <w:t>Afriworld</w:t>
      </w:r>
      <w:proofErr w:type="spellEnd"/>
      <w:r>
        <w:rPr>
          <w:rFonts w:ascii="Arial" w:hAnsi="Arial" w:cs="Arial"/>
        </w:rPr>
        <w:t xml:space="preserve"> 142. </w:t>
      </w:r>
      <w:r w:rsidR="00AE6B08">
        <w:rPr>
          <w:rFonts w:ascii="Arial" w:hAnsi="Arial" w:cs="Arial"/>
        </w:rPr>
        <w:t xml:space="preserve">This case is part of the larger Competition Commission investigation into prohibited practices in the furniture removal sector. </w:t>
      </w:r>
    </w:p>
    <w:p w:rsidR="007B51AF" w:rsidRDefault="007B51AF" w:rsidP="007B51AF">
      <w:pPr>
        <w:spacing w:after="0" w:line="240" w:lineRule="auto"/>
        <w:jc w:val="both"/>
        <w:rPr>
          <w:rFonts w:ascii="Arial" w:hAnsi="Arial" w:cs="Arial"/>
        </w:rPr>
      </w:pPr>
    </w:p>
    <w:p w:rsidR="00AE6B08" w:rsidRDefault="003A27DC" w:rsidP="007B51A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well as a </w:t>
      </w:r>
      <w:r w:rsidR="00AE6B08">
        <w:rPr>
          <w:rFonts w:ascii="Arial" w:hAnsi="Arial" w:cs="Arial"/>
        </w:rPr>
        <w:t xml:space="preserve">penalty of 4% of its annual turnover for 2014, Key Moves has agreed to cooperate with the Competition Commission in further investigations into companies into the furniture removal sector. </w:t>
      </w:r>
    </w:p>
    <w:p w:rsidR="00AE6B08" w:rsidRDefault="00AE6B08" w:rsidP="007B51AF">
      <w:pPr>
        <w:spacing w:after="0" w:line="240" w:lineRule="auto"/>
        <w:jc w:val="both"/>
        <w:rPr>
          <w:rFonts w:ascii="Arial" w:hAnsi="Arial" w:cs="Arial"/>
        </w:rPr>
      </w:pPr>
    </w:p>
    <w:p w:rsidR="007B51AF" w:rsidRDefault="003A27DC" w:rsidP="007B51A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terms of the contravention, </w:t>
      </w:r>
      <w:r w:rsidR="00AE6B08">
        <w:rPr>
          <w:rFonts w:ascii="Arial" w:hAnsi="Arial" w:cs="Arial"/>
        </w:rPr>
        <w:t xml:space="preserve">Key Moves, when approached for a quote, asked </w:t>
      </w:r>
      <w:r w:rsidR="007B51AF">
        <w:rPr>
          <w:rFonts w:ascii="Arial" w:hAnsi="Arial" w:cs="Arial"/>
        </w:rPr>
        <w:t xml:space="preserve">two competitors to submit cover prices. </w:t>
      </w:r>
    </w:p>
    <w:p w:rsidR="00AE6B08" w:rsidRDefault="00AE6B08" w:rsidP="007B51AF">
      <w:pPr>
        <w:spacing w:after="0" w:line="240" w:lineRule="auto"/>
        <w:jc w:val="both"/>
        <w:rPr>
          <w:rFonts w:ascii="Arial" w:hAnsi="Arial" w:cs="Arial"/>
        </w:rPr>
      </w:pPr>
    </w:p>
    <w:p w:rsidR="007B51AF" w:rsidRDefault="003A27DC" w:rsidP="007B51A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 another case, the Tribunal approved a large</w:t>
      </w:r>
      <w:r w:rsidR="007B51AF" w:rsidRPr="00AF095B">
        <w:rPr>
          <w:rFonts w:ascii="Arial" w:hAnsi="Arial" w:cs="Arial"/>
        </w:rPr>
        <w:t xml:space="preserve"> merger between the </w:t>
      </w:r>
      <w:r w:rsidR="007B51AF" w:rsidRPr="00AF095B">
        <w:rPr>
          <w:rFonts w:ascii="Arial" w:hAnsi="Arial" w:cs="Arial"/>
          <w:b/>
        </w:rPr>
        <w:t>Government Employment Fund</w:t>
      </w:r>
      <w:r w:rsidR="007B51AF" w:rsidRPr="00AF095B">
        <w:rPr>
          <w:rFonts w:ascii="Arial" w:hAnsi="Arial" w:cs="Arial"/>
        </w:rPr>
        <w:t xml:space="preserve"> (GEPF) and </w:t>
      </w:r>
      <w:r w:rsidR="007B51AF" w:rsidRPr="00AF095B">
        <w:rPr>
          <w:rFonts w:ascii="Arial" w:hAnsi="Arial" w:cs="Arial"/>
          <w:b/>
        </w:rPr>
        <w:t>Mining and Oil and Gas Services Proprietary Limited</w:t>
      </w:r>
      <w:r>
        <w:rPr>
          <w:rFonts w:ascii="Arial" w:hAnsi="Arial" w:cs="Arial"/>
        </w:rPr>
        <w:t xml:space="preserve"> (MOGS).</w:t>
      </w:r>
    </w:p>
    <w:p w:rsidR="003A27DC" w:rsidRPr="00AF095B" w:rsidRDefault="003A27DC" w:rsidP="007B51AF">
      <w:pPr>
        <w:spacing w:after="0" w:line="240" w:lineRule="auto"/>
        <w:jc w:val="both"/>
        <w:rPr>
          <w:rFonts w:ascii="Arial" w:hAnsi="Arial" w:cs="Arial"/>
        </w:rPr>
      </w:pPr>
    </w:p>
    <w:p w:rsidR="007B51AF" w:rsidRPr="00AF095B" w:rsidRDefault="003A27DC" w:rsidP="007B51A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merger will</w:t>
      </w:r>
      <w:r w:rsidR="007B51AF" w:rsidRPr="00AF095B">
        <w:rPr>
          <w:rFonts w:ascii="Arial" w:hAnsi="Arial" w:cs="Arial"/>
        </w:rPr>
        <w:t xml:space="preserve"> see GEPF, whose shareholding is represented by P</w:t>
      </w:r>
      <w:r w:rsidR="007B51AF">
        <w:rPr>
          <w:rFonts w:ascii="Arial" w:hAnsi="Arial" w:cs="Arial"/>
        </w:rPr>
        <w:t>ublic Investment Corporation (P</w:t>
      </w:r>
      <w:r w:rsidR="007B51AF" w:rsidRPr="00AF095B">
        <w:rPr>
          <w:rFonts w:ascii="Arial" w:hAnsi="Arial" w:cs="Arial"/>
        </w:rPr>
        <w:t>IC</w:t>
      </w:r>
      <w:r w:rsidR="007B51AF">
        <w:rPr>
          <w:rFonts w:ascii="Arial" w:hAnsi="Arial" w:cs="Arial"/>
        </w:rPr>
        <w:t>)</w:t>
      </w:r>
      <w:r w:rsidR="007B51AF" w:rsidRPr="00AF095B">
        <w:rPr>
          <w:rFonts w:ascii="Arial" w:hAnsi="Arial" w:cs="Arial"/>
        </w:rPr>
        <w:t xml:space="preserve">, acquire MOGS, through a special purpose vehicle </w:t>
      </w:r>
      <w:proofErr w:type="spellStart"/>
      <w:r w:rsidR="007B51AF" w:rsidRPr="00AF095B">
        <w:rPr>
          <w:rFonts w:ascii="Arial" w:hAnsi="Arial" w:cs="Arial"/>
        </w:rPr>
        <w:t>Kuseni</w:t>
      </w:r>
      <w:proofErr w:type="spellEnd"/>
      <w:r w:rsidR="007B51AF" w:rsidRPr="00AF095B">
        <w:rPr>
          <w:rFonts w:ascii="Arial" w:hAnsi="Arial" w:cs="Arial"/>
        </w:rPr>
        <w:t xml:space="preserve"> SPV Propriety Limited. </w:t>
      </w:r>
    </w:p>
    <w:p w:rsidR="007B51AF" w:rsidRPr="00AF095B" w:rsidRDefault="007B51AF" w:rsidP="007B51AF">
      <w:pPr>
        <w:spacing w:after="0" w:line="240" w:lineRule="auto"/>
        <w:jc w:val="both"/>
        <w:rPr>
          <w:rFonts w:ascii="Arial" w:hAnsi="Arial" w:cs="Arial"/>
        </w:rPr>
      </w:pPr>
    </w:p>
    <w:p w:rsidR="007B51AF" w:rsidRPr="00AF095B" w:rsidRDefault="007B51AF" w:rsidP="007B51AF">
      <w:pPr>
        <w:spacing w:after="0" w:line="240" w:lineRule="auto"/>
        <w:jc w:val="both"/>
        <w:rPr>
          <w:rFonts w:ascii="Arial" w:hAnsi="Arial" w:cs="Arial"/>
        </w:rPr>
      </w:pPr>
      <w:r w:rsidRPr="00AF095B">
        <w:rPr>
          <w:rFonts w:ascii="Arial" w:hAnsi="Arial" w:cs="Arial"/>
        </w:rPr>
        <w:t xml:space="preserve">The GEPF manages and administers retirement and other benefits for government employees, MOGS is a company that provides various services to the gold, coal, platinum sectors, as well as </w:t>
      </w:r>
      <w:r w:rsidRPr="00AF095B">
        <w:rPr>
          <w:rFonts w:ascii="Arial" w:hAnsi="Arial" w:cs="Arial"/>
        </w:rPr>
        <w:lastRenderedPageBreak/>
        <w:t xml:space="preserve">the oil and gas sectors. These include mineral exploration, hydraulic and sand mining, as well as geological and mining services. </w:t>
      </w:r>
    </w:p>
    <w:p w:rsidR="007B51AF" w:rsidRDefault="007B51AF" w:rsidP="007B51A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B51AF" w:rsidRDefault="007B51AF" w:rsidP="007B51A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3A27DC">
        <w:rPr>
          <w:rFonts w:ascii="Arial" w:hAnsi="Arial" w:cs="Arial"/>
        </w:rPr>
        <w:t>Tribunal also approved the large</w:t>
      </w:r>
      <w:r>
        <w:rPr>
          <w:rFonts w:ascii="Arial" w:hAnsi="Arial" w:cs="Arial"/>
        </w:rPr>
        <w:t xml:space="preserve"> merger between </w:t>
      </w:r>
      <w:r w:rsidRPr="00C14377">
        <w:rPr>
          <w:rFonts w:ascii="Arial" w:hAnsi="Arial" w:cs="Arial"/>
          <w:b/>
        </w:rPr>
        <w:t>Winter Robin Investments 26 Propriety Limited (JVCO)</w:t>
      </w:r>
      <w:r>
        <w:rPr>
          <w:rFonts w:ascii="Arial" w:hAnsi="Arial" w:cs="Arial"/>
        </w:rPr>
        <w:t xml:space="preserve">, controlled by Sanlam </w:t>
      </w:r>
      <w:r w:rsidR="003A27DC">
        <w:rPr>
          <w:rFonts w:ascii="Arial" w:hAnsi="Arial" w:cs="Arial"/>
        </w:rPr>
        <w:t xml:space="preserve">Properties Proprietary Limited </w:t>
      </w:r>
      <w:r>
        <w:rPr>
          <w:rFonts w:ascii="Arial" w:hAnsi="Arial" w:cs="Arial"/>
        </w:rPr>
        <w:t xml:space="preserve">and </w:t>
      </w:r>
      <w:r w:rsidRPr="00C14377">
        <w:rPr>
          <w:rFonts w:ascii="Arial" w:hAnsi="Arial" w:cs="Arial"/>
          <w:b/>
        </w:rPr>
        <w:t>Waterfall Business Estate</w:t>
      </w:r>
      <w:r>
        <w:rPr>
          <w:rFonts w:ascii="Arial" w:hAnsi="Arial" w:cs="Arial"/>
        </w:rPr>
        <w:t xml:space="preserve">. This will see JVCO acquire Pocket 24 of the Waterfall Business Estate (Pocket 24 Development Right) and a portion of Pocket 3 of the Waterfall Business Estate (Pocket 3 Development Right). </w:t>
      </w:r>
    </w:p>
    <w:p w:rsidR="007B51AF" w:rsidRDefault="007B51AF" w:rsidP="007B51AF">
      <w:pPr>
        <w:spacing w:after="0" w:line="240" w:lineRule="auto"/>
        <w:jc w:val="both"/>
        <w:rPr>
          <w:rFonts w:ascii="Arial" w:hAnsi="Arial" w:cs="Arial"/>
        </w:rPr>
      </w:pPr>
    </w:p>
    <w:p w:rsidR="007B51AF" w:rsidRDefault="007B51AF" w:rsidP="007B51A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development rights of Pocket 24 allows for the construction of a distribution and warehouse centre, while Pocket 3 is zoned for agricultural purposes. </w:t>
      </w:r>
    </w:p>
    <w:p w:rsidR="007B51AF" w:rsidRDefault="007B51AF" w:rsidP="007B51AF">
      <w:pPr>
        <w:spacing w:after="0" w:line="240" w:lineRule="auto"/>
        <w:jc w:val="both"/>
        <w:rPr>
          <w:rFonts w:ascii="Arial" w:hAnsi="Arial" w:cs="Arial"/>
        </w:rPr>
      </w:pPr>
    </w:p>
    <w:p w:rsidR="007B51AF" w:rsidRDefault="007B51AF" w:rsidP="007B51A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Commission found</w:t>
      </w:r>
      <w:r w:rsidR="003A27DC">
        <w:rPr>
          <w:rFonts w:ascii="Arial" w:hAnsi="Arial" w:cs="Arial"/>
        </w:rPr>
        <w:t xml:space="preserve"> there was sufficient competition for the merger not to provide competition concerns. </w:t>
      </w:r>
      <w:r>
        <w:rPr>
          <w:rFonts w:ascii="Arial" w:hAnsi="Arial" w:cs="Arial"/>
        </w:rPr>
        <w:t xml:space="preserve"> </w:t>
      </w:r>
    </w:p>
    <w:p w:rsidR="003A27DC" w:rsidRDefault="003A27DC" w:rsidP="007B51AF">
      <w:pPr>
        <w:spacing w:after="0" w:line="240" w:lineRule="auto"/>
        <w:jc w:val="both"/>
        <w:rPr>
          <w:rFonts w:ascii="Arial" w:hAnsi="Arial" w:cs="Arial"/>
        </w:rPr>
      </w:pPr>
    </w:p>
    <w:p w:rsidR="003A27DC" w:rsidRPr="003A27DC" w:rsidRDefault="003A27DC" w:rsidP="007B51AF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3A27DC">
        <w:rPr>
          <w:rFonts w:ascii="Arial" w:hAnsi="Arial" w:cs="Arial"/>
        </w:rPr>
        <w:t xml:space="preserve">Cases still outstanding are </w:t>
      </w:r>
      <w:r w:rsidRPr="003A27DC">
        <w:rPr>
          <w:rFonts w:ascii="Arial" w:hAnsi="Arial" w:cs="Arial"/>
          <w:b/>
        </w:rPr>
        <w:t>Competition Commission and Life Healthcare Group (Pty) Ltd; Joint Medical Holdings Ltd</w:t>
      </w:r>
      <w:r>
        <w:rPr>
          <w:rFonts w:ascii="Arial" w:hAnsi="Arial" w:cs="Arial"/>
          <w:b/>
        </w:rPr>
        <w:t xml:space="preserve">, </w:t>
      </w:r>
      <w:r w:rsidRPr="00E14886">
        <w:rPr>
          <w:rFonts w:ascii="Arial" w:hAnsi="Arial" w:cs="Arial"/>
        </w:rPr>
        <w:t>as well as</w:t>
      </w:r>
      <w:r>
        <w:rPr>
          <w:rFonts w:ascii="Arial" w:hAnsi="Arial" w:cs="Arial"/>
          <w:b/>
        </w:rPr>
        <w:t xml:space="preserve"> </w:t>
      </w:r>
      <w:proofErr w:type="spellStart"/>
      <w:r w:rsidRPr="00E14886">
        <w:rPr>
          <w:rFonts w:ascii="Arial" w:hAnsi="Arial" w:cs="Arial"/>
          <w:b/>
        </w:rPr>
        <w:t>Tegeta</w:t>
      </w:r>
      <w:proofErr w:type="spellEnd"/>
      <w:r w:rsidRPr="00E14886">
        <w:rPr>
          <w:rFonts w:ascii="Arial" w:hAnsi="Arial" w:cs="Arial"/>
          <w:b/>
        </w:rPr>
        <w:t xml:space="preserve"> Exploration and Resources (Pty) LTD and Optimum Coal Mine (Pty) LTD</w:t>
      </w:r>
      <w:r w:rsidRPr="003A27DC">
        <w:rPr>
          <w:rFonts w:ascii="Arial" w:hAnsi="Arial" w:cs="Arial"/>
        </w:rPr>
        <w:t xml:space="preserve"> (In business rescue and 6 other target firms)</w:t>
      </w:r>
      <w:r w:rsidRPr="003A27DC">
        <w:rPr>
          <w:rFonts w:ascii="Arial" w:hAnsi="Arial" w:cs="Arial"/>
        </w:rPr>
        <w:t xml:space="preserve">. </w:t>
      </w:r>
    </w:p>
    <w:p w:rsidR="007B51AF" w:rsidRPr="00E02933" w:rsidRDefault="007B51AF" w:rsidP="007B51A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7B51AF" w:rsidRPr="00E02933" w:rsidRDefault="007B51AF" w:rsidP="007B51AF">
      <w:pPr>
        <w:spacing w:after="0" w:line="240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color w:val="000000"/>
          <w:lang w:eastAsia="en-ZA"/>
        </w:rPr>
        <w:t xml:space="preserve">Issued by: </w:t>
      </w:r>
    </w:p>
    <w:p w:rsidR="007B51AF" w:rsidRDefault="007B51AF" w:rsidP="007B51AF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>
        <w:rPr>
          <w:rFonts w:ascii="Arial" w:hAnsi="Arial" w:cs="Arial"/>
          <w:color w:val="000000"/>
          <w:lang w:eastAsia="en-ZA"/>
        </w:rPr>
        <w:t xml:space="preserve">Chantelle Benjamin </w:t>
      </w:r>
      <w:bookmarkStart w:id="0" w:name="_GoBack"/>
      <w:bookmarkEnd w:id="0"/>
    </w:p>
    <w:p w:rsidR="007B51AF" w:rsidRDefault="007B51AF" w:rsidP="007B51AF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>
        <w:rPr>
          <w:rFonts w:ascii="Arial" w:hAnsi="Arial" w:cs="Arial"/>
          <w:color w:val="000000"/>
          <w:lang w:eastAsia="en-ZA"/>
        </w:rPr>
        <w:t>Communications</w:t>
      </w:r>
      <w:r w:rsidRPr="00E02933">
        <w:rPr>
          <w:rFonts w:ascii="Arial" w:hAnsi="Arial" w:cs="Arial"/>
          <w:color w:val="000000"/>
          <w:lang w:eastAsia="en-ZA"/>
        </w:rPr>
        <w:t>: Competition Tribunal   </w:t>
      </w:r>
    </w:p>
    <w:p w:rsidR="007B51AF" w:rsidRPr="00E02933" w:rsidRDefault="007B51AF" w:rsidP="007B51AF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>
        <w:rPr>
          <w:rFonts w:ascii="Arial" w:hAnsi="Arial" w:cs="Arial"/>
          <w:color w:val="000000"/>
          <w:lang w:eastAsia="en-ZA"/>
        </w:rPr>
        <w:t>Tel (012)394 1383</w:t>
      </w:r>
      <w:r w:rsidRPr="00E02933">
        <w:rPr>
          <w:rFonts w:ascii="Arial" w:hAnsi="Arial" w:cs="Arial"/>
          <w:color w:val="000000"/>
          <w:lang w:eastAsia="en-ZA"/>
        </w:rPr>
        <w:t xml:space="preserve">                                      </w:t>
      </w:r>
    </w:p>
    <w:p w:rsidR="007B51AF" w:rsidRPr="00E02933" w:rsidRDefault="007B51AF" w:rsidP="007B51AF">
      <w:pPr>
        <w:spacing w:after="0" w:line="240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color w:val="000000"/>
          <w:lang w:eastAsia="en-ZA"/>
        </w:rPr>
        <w:t>Cell: +27 (0) 73 007 5603</w:t>
      </w:r>
      <w:r w:rsidRPr="00E02933">
        <w:rPr>
          <w:rFonts w:ascii="Arial" w:hAnsi="Arial" w:cs="Arial"/>
          <w:color w:val="000000"/>
          <w:lang w:eastAsia="en-ZA"/>
        </w:rPr>
        <w:t xml:space="preserve">                                          </w:t>
      </w:r>
    </w:p>
    <w:p w:rsidR="007B51AF" w:rsidRPr="00E02933" w:rsidRDefault="007B51AF" w:rsidP="007B51AF">
      <w:pPr>
        <w:spacing w:after="0" w:line="240" w:lineRule="auto"/>
        <w:jc w:val="both"/>
        <w:rPr>
          <w:rFonts w:ascii="Arial" w:hAnsi="Arial" w:cs="Arial"/>
        </w:rPr>
      </w:pPr>
      <w:r w:rsidRPr="00E02933">
        <w:rPr>
          <w:rFonts w:ascii="Arial" w:hAnsi="Arial" w:cs="Arial"/>
          <w:color w:val="000000"/>
          <w:lang w:eastAsia="en-ZA"/>
        </w:rPr>
        <w:t xml:space="preserve">E-Mail: </w:t>
      </w:r>
      <w:hyperlink r:id="rId5" w:history="1">
        <w:r w:rsidRPr="00E02933">
          <w:rPr>
            <w:rStyle w:val="Hyperlink"/>
            <w:rFonts w:ascii="Arial" w:hAnsi="Arial" w:cs="Arial"/>
            <w:lang w:eastAsia="en-ZA"/>
          </w:rPr>
          <w:t>chantelleb@comptrib.co.za</w:t>
        </w:r>
      </w:hyperlink>
      <w:r w:rsidRPr="00E02933">
        <w:rPr>
          <w:rFonts w:ascii="Arial" w:hAnsi="Arial" w:cs="Arial"/>
        </w:rPr>
        <w:t xml:space="preserve"> </w:t>
      </w:r>
    </w:p>
    <w:p w:rsidR="007B51AF" w:rsidRPr="00E02933" w:rsidRDefault="007B51AF" w:rsidP="007B51A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7B51AF" w:rsidRPr="00E02933" w:rsidRDefault="007B51AF" w:rsidP="007B51A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7B51AF" w:rsidRPr="00E02933" w:rsidRDefault="007B51AF" w:rsidP="007B51AF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>On Behalf Of:</w:t>
      </w:r>
    </w:p>
    <w:p w:rsidR="007B51AF" w:rsidRPr="00E02933" w:rsidRDefault="007B51AF" w:rsidP="007B51AF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>Lerato Motaung                                                   </w:t>
      </w:r>
    </w:p>
    <w:p w:rsidR="007B51AF" w:rsidRPr="00E02933" w:rsidRDefault="007B51AF" w:rsidP="007B51AF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 xml:space="preserve">Registrar: Competition Tribunal                                         </w:t>
      </w:r>
    </w:p>
    <w:p w:rsidR="007B51AF" w:rsidRPr="00E02933" w:rsidRDefault="007B51AF" w:rsidP="007B51AF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 xml:space="preserve">Tel: (012) 394 3355                                              </w:t>
      </w:r>
    </w:p>
    <w:p w:rsidR="007B51AF" w:rsidRPr="00E02933" w:rsidRDefault="007B51AF" w:rsidP="007B51AF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 xml:space="preserve">Cell: +27 (0) 82 556 3221                                               </w:t>
      </w:r>
    </w:p>
    <w:p w:rsidR="007B51AF" w:rsidRPr="00E02933" w:rsidRDefault="007B51AF" w:rsidP="007B51AF">
      <w:pPr>
        <w:spacing w:after="0" w:line="240" w:lineRule="auto"/>
        <w:jc w:val="both"/>
        <w:rPr>
          <w:rFonts w:ascii="Arial" w:hAnsi="Arial" w:cs="Arial"/>
        </w:rPr>
      </w:pPr>
      <w:r w:rsidRPr="00E02933">
        <w:rPr>
          <w:rFonts w:ascii="Arial" w:hAnsi="Arial" w:cs="Arial"/>
          <w:color w:val="000000"/>
          <w:lang w:eastAsia="en-ZA"/>
        </w:rPr>
        <w:t xml:space="preserve">E-Mail: </w:t>
      </w:r>
      <w:hyperlink r:id="rId6" w:history="1">
        <w:r w:rsidRPr="00E02933">
          <w:rPr>
            <w:rStyle w:val="Hyperlink"/>
            <w:rFonts w:ascii="Arial" w:hAnsi="Arial" w:cs="Arial"/>
            <w:lang w:eastAsia="en-ZA"/>
          </w:rPr>
          <w:t>LeratoM@comptrib.co.za</w:t>
        </w:r>
      </w:hyperlink>
    </w:p>
    <w:p w:rsidR="001260C5" w:rsidRDefault="00E14886"/>
    <w:sectPr w:rsidR="00126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1AF"/>
    <w:rsid w:val="00212E59"/>
    <w:rsid w:val="003A27DC"/>
    <w:rsid w:val="004E507A"/>
    <w:rsid w:val="007B51AF"/>
    <w:rsid w:val="00AE6B08"/>
    <w:rsid w:val="00E14886"/>
    <w:rsid w:val="00F6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56EEF3-2E7E-4C35-9B42-F26ED165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1AF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51AF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51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ratoM@comptrib.co.za" TargetMode="External"/><Relationship Id="rId5" Type="http://schemas.openxmlformats.org/officeDocument/2006/relationships/hyperlink" Target="file:///C:\Users\chantelleb\Documents\chantelleb@comptrib.co.za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Benjamin</dc:creator>
  <cp:keywords/>
  <dc:description/>
  <cp:lastModifiedBy>Chantelle Benjamin</cp:lastModifiedBy>
  <cp:revision>3</cp:revision>
  <dcterms:created xsi:type="dcterms:W3CDTF">2016-02-17T14:31:00Z</dcterms:created>
  <dcterms:modified xsi:type="dcterms:W3CDTF">2016-02-17T14:56:00Z</dcterms:modified>
</cp:coreProperties>
</file>