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520" w:rsidRDefault="00E34520" w:rsidP="00E34520">
      <w:pPr>
        <w:rPr>
          <w:lang w:val="en-US"/>
        </w:rPr>
      </w:pPr>
    </w:p>
    <w:p w:rsidR="00E34520" w:rsidRDefault="00E34520" w:rsidP="00E34520">
      <w:pPr>
        <w:autoSpaceDE w:val="0"/>
        <w:autoSpaceDN w:val="0"/>
        <w:spacing w:after="160" w:line="276" w:lineRule="auto"/>
        <w:ind w:left="567" w:right="567"/>
        <w:contextualSpacing/>
        <w:jc w:val="center"/>
        <w:rPr>
          <w:rFonts w:ascii="Arial" w:hAnsi="Arial" w:cs="Arial"/>
          <w:b/>
          <w:bCs/>
        </w:rPr>
      </w:pPr>
      <w:r>
        <w:rPr>
          <w:rFonts w:ascii="Arial" w:hAnsi="Arial" w:cs="Arial"/>
          <w:b/>
          <w:bCs/>
          <w:noProof/>
        </w:rPr>
        <w:drawing>
          <wp:inline distT="0" distB="0" distL="0" distR="0">
            <wp:extent cx="1085850" cy="733425"/>
            <wp:effectExtent l="0" t="0" r="0" b="9525"/>
            <wp:docPr id="1" name="Picture 1" descr="cid:image003.jpg@01D35E31.5517A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35E31.5517ADE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85850" cy="733425"/>
                    </a:xfrm>
                    <a:prstGeom prst="rect">
                      <a:avLst/>
                    </a:prstGeom>
                    <a:noFill/>
                    <a:ln>
                      <a:noFill/>
                    </a:ln>
                  </pic:spPr>
                </pic:pic>
              </a:graphicData>
            </a:graphic>
          </wp:inline>
        </w:drawing>
      </w:r>
    </w:p>
    <w:p w:rsidR="00E34520" w:rsidRDefault="00E34520" w:rsidP="00E34520">
      <w:pPr>
        <w:autoSpaceDE w:val="0"/>
        <w:autoSpaceDN w:val="0"/>
        <w:spacing w:after="160" w:line="276" w:lineRule="auto"/>
        <w:ind w:left="567" w:right="567"/>
        <w:contextualSpacing/>
        <w:jc w:val="center"/>
        <w:rPr>
          <w:rFonts w:ascii="Arial" w:hAnsi="Arial" w:cs="Arial"/>
          <w:b/>
          <w:bCs/>
        </w:rPr>
      </w:pPr>
    </w:p>
    <w:p w:rsidR="00E34520" w:rsidRDefault="00E34520" w:rsidP="00E34520">
      <w:pPr>
        <w:autoSpaceDE w:val="0"/>
        <w:autoSpaceDN w:val="0"/>
        <w:spacing w:after="160" w:line="276" w:lineRule="auto"/>
        <w:ind w:left="567" w:right="567"/>
        <w:contextualSpacing/>
        <w:jc w:val="center"/>
        <w:rPr>
          <w:rFonts w:ascii="Arial" w:hAnsi="Arial" w:cs="Arial"/>
          <w:b/>
          <w:bCs/>
        </w:rPr>
      </w:pPr>
      <w:r>
        <w:rPr>
          <w:rFonts w:ascii="Arial" w:hAnsi="Arial" w:cs="Arial"/>
          <w:b/>
          <w:bCs/>
        </w:rPr>
        <w:t xml:space="preserve">OUTCOME OF </w:t>
      </w:r>
      <w:r w:rsidR="008D5D96">
        <w:rPr>
          <w:rFonts w:ascii="Arial" w:hAnsi="Arial" w:cs="Arial"/>
          <w:b/>
          <w:bCs/>
        </w:rPr>
        <w:t xml:space="preserve">TRIBUNAL </w:t>
      </w:r>
      <w:r>
        <w:rPr>
          <w:rFonts w:ascii="Arial" w:hAnsi="Arial" w:cs="Arial"/>
          <w:b/>
          <w:bCs/>
        </w:rPr>
        <w:t>HEARINGS</w:t>
      </w:r>
      <w:r w:rsidR="008D5D96">
        <w:rPr>
          <w:rFonts w:ascii="Arial" w:hAnsi="Arial" w:cs="Arial"/>
          <w:b/>
          <w:bCs/>
        </w:rPr>
        <w:t xml:space="preserve"> </w:t>
      </w:r>
      <w:r>
        <w:rPr>
          <w:rFonts w:ascii="Arial" w:hAnsi="Arial" w:cs="Arial"/>
          <w:b/>
          <w:bCs/>
        </w:rPr>
        <w:t>– THURSDAY, 16 NOVEMBER 2017</w:t>
      </w:r>
    </w:p>
    <w:p w:rsidR="00E34520" w:rsidRDefault="00E34520" w:rsidP="00E34520">
      <w:pPr>
        <w:ind w:left="567" w:right="567"/>
        <w:jc w:val="both"/>
        <w:rPr>
          <w:rFonts w:ascii="Arial" w:hAnsi="Arial" w:cs="Arial"/>
          <w:b/>
          <w:bCs/>
        </w:rPr>
      </w:pPr>
    </w:p>
    <w:p w:rsidR="00E34520" w:rsidRDefault="00E34520" w:rsidP="00E34520">
      <w:pPr>
        <w:ind w:left="567" w:right="567"/>
        <w:jc w:val="both"/>
        <w:rPr>
          <w:rFonts w:ascii="Arial" w:hAnsi="Arial" w:cs="Arial"/>
        </w:rPr>
      </w:pPr>
    </w:p>
    <w:tbl>
      <w:tblPr>
        <w:tblW w:w="8222" w:type="dxa"/>
        <w:tblInd w:w="-10" w:type="dxa"/>
        <w:tblCellMar>
          <w:left w:w="0" w:type="dxa"/>
          <w:right w:w="0" w:type="dxa"/>
        </w:tblCellMar>
        <w:tblLook w:val="04A0" w:firstRow="1" w:lastRow="0" w:firstColumn="1" w:lastColumn="0" w:noHBand="0" w:noVBand="1"/>
      </w:tblPr>
      <w:tblGrid>
        <w:gridCol w:w="1480"/>
        <w:gridCol w:w="2631"/>
        <w:gridCol w:w="2422"/>
        <w:gridCol w:w="1689"/>
      </w:tblGrid>
      <w:tr w:rsidR="00E34520" w:rsidTr="008D5D96">
        <w:trPr>
          <w:trHeight w:val="972"/>
        </w:trPr>
        <w:tc>
          <w:tcPr>
            <w:tcW w:w="1480" w:type="dxa"/>
            <w:tcBorders>
              <w:top w:val="single" w:sz="8" w:space="0" w:color="996633"/>
              <w:left w:val="single" w:sz="8" w:space="0" w:color="996633"/>
              <w:bottom w:val="single" w:sz="8" w:space="0" w:color="996633"/>
              <w:right w:val="single" w:sz="8" w:space="0" w:color="996633"/>
            </w:tcBorders>
            <w:shd w:val="clear" w:color="auto" w:fill="996633"/>
            <w:tcMar>
              <w:top w:w="0" w:type="dxa"/>
              <w:left w:w="108" w:type="dxa"/>
              <w:bottom w:w="0" w:type="dxa"/>
              <w:right w:w="108" w:type="dxa"/>
            </w:tcMar>
            <w:hideMark/>
          </w:tcPr>
          <w:p w:rsidR="00E34520" w:rsidRDefault="00E34520">
            <w:pPr>
              <w:ind w:right="567"/>
              <w:rPr>
                <w:rFonts w:ascii="Arial" w:hAnsi="Arial" w:cs="Arial"/>
                <w:color w:val="FFFFFF"/>
              </w:rPr>
            </w:pPr>
            <w:r>
              <w:rPr>
                <w:rFonts w:ascii="Arial" w:hAnsi="Arial" w:cs="Arial"/>
                <w:color w:val="FFFFFF"/>
              </w:rPr>
              <w:t>Type of matter</w:t>
            </w:r>
          </w:p>
        </w:tc>
        <w:tc>
          <w:tcPr>
            <w:tcW w:w="2631"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rsidR="00E34520" w:rsidRDefault="00E34520" w:rsidP="00E34520">
            <w:pPr>
              <w:ind w:right="567"/>
              <w:rPr>
                <w:rFonts w:ascii="Arial" w:hAnsi="Arial" w:cs="Arial"/>
                <w:color w:val="FFFFFF"/>
              </w:rPr>
            </w:pPr>
            <w:r>
              <w:rPr>
                <w:rFonts w:ascii="Arial" w:hAnsi="Arial" w:cs="Arial"/>
                <w:color w:val="FFFFFF"/>
              </w:rPr>
              <w:t>Parties involved</w:t>
            </w:r>
          </w:p>
        </w:tc>
        <w:tc>
          <w:tcPr>
            <w:tcW w:w="2422"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rsidR="00E34520" w:rsidRDefault="00E34520">
            <w:pPr>
              <w:ind w:right="567"/>
              <w:rPr>
                <w:rFonts w:ascii="Arial" w:hAnsi="Arial" w:cs="Arial"/>
                <w:color w:val="FFFFFF"/>
              </w:rPr>
            </w:pPr>
            <w:r>
              <w:rPr>
                <w:rFonts w:ascii="Arial" w:hAnsi="Arial" w:cs="Arial"/>
                <w:color w:val="FFFFFF"/>
              </w:rPr>
              <w:t>Competition Commission’s recommendation to Tribunal</w:t>
            </w:r>
          </w:p>
        </w:tc>
        <w:tc>
          <w:tcPr>
            <w:tcW w:w="1689" w:type="dxa"/>
            <w:tcBorders>
              <w:top w:val="single" w:sz="8" w:space="0" w:color="996633"/>
              <w:left w:val="nil"/>
              <w:bottom w:val="single" w:sz="8" w:space="0" w:color="996633"/>
              <w:right w:val="single" w:sz="8" w:space="0" w:color="996633"/>
            </w:tcBorders>
            <w:shd w:val="clear" w:color="auto" w:fill="996633"/>
          </w:tcPr>
          <w:p w:rsidR="00E34520" w:rsidRDefault="00E34520">
            <w:pPr>
              <w:ind w:right="567"/>
              <w:rPr>
                <w:rFonts w:ascii="Arial" w:hAnsi="Arial" w:cs="Arial"/>
                <w:color w:val="FFFFFF"/>
              </w:rPr>
            </w:pPr>
            <w:r>
              <w:rPr>
                <w:rFonts w:ascii="Arial" w:hAnsi="Arial" w:cs="Arial"/>
                <w:color w:val="FFFFFF"/>
              </w:rPr>
              <w:t xml:space="preserve">Tribunal decision </w:t>
            </w:r>
          </w:p>
        </w:tc>
      </w:tr>
      <w:tr w:rsidR="00E34520" w:rsidTr="008D5D96">
        <w:trPr>
          <w:trHeight w:val="493"/>
        </w:trPr>
        <w:tc>
          <w:tcPr>
            <w:tcW w:w="1480"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rsidR="00E34520" w:rsidRDefault="00E34520">
            <w:pPr>
              <w:ind w:right="567"/>
              <w:jc w:val="both"/>
              <w:rPr>
                <w:rFonts w:ascii="Arial" w:hAnsi="Arial" w:cs="Arial"/>
              </w:rPr>
            </w:pPr>
            <w:r>
              <w:rPr>
                <w:rFonts w:ascii="Arial" w:hAnsi="Arial" w:cs="Arial"/>
              </w:rPr>
              <w:t>Large merger</w:t>
            </w:r>
          </w:p>
        </w:tc>
        <w:tc>
          <w:tcPr>
            <w:tcW w:w="2631" w:type="dxa"/>
            <w:tcBorders>
              <w:top w:val="nil"/>
              <w:left w:val="nil"/>
              <w:bottom w:val="single" w:sz="8" w:space="0" w:color="996633"/>
              <w:right w:val="single" w:sz="8" w:space="0" w:color="996633"/>
            </w:tcBorders>
            <w:tcMar>
              <w:top w:w="0" w:type="dxa"/>
              <w:left w:w="108" w:type="dxa"/>
              <w:bottom w:w="0" w:type="dxa"/>
              <w:right w:w="108" w:type="dxa"/>
            </w:tcMar>
          </w:tcPr>
          <w:p w:rsidR="00E34520" w:rsidRDefault="00E34520">
            <w:pPr>
              <w:ind w:right="567"/>
              <w:jc w:val="both"/>
              <w:rPr>
                <w:rFonts w:ascii="Arial" w:hAnsi="Arial" w:cs="Arial"/>
              </w:rPr>
            </w:pPr>
            <w:r>
              <w:rPr>
                <w:rFonts w:ascii="Arial" w:hAnsi="Arial" w:cs="Arial"/>
                <w:color w:val="000000"/>
              </w:rPr>
              <w:t>PSG Retirement Holdings (Pty) Ltd And Evergreen Retirement Holdings (Pty) Ltd</w:t>
            </w:r>
          </w:p>
          <w:p w:rsidR="00E34520" w:rsidRDefault="00E34520">
            <w:pPr>
              <w:ind w:left="567" w:right="567"/>
              <w:jc w:val="both"/>
              <w:rPr>
                <w:rFonts w:ascii="Arial" w:hAnsi="Arial" w:cs="Arial"/>
                <w:color w:val="000000"/>
              </w:rPr>
            </w:pPr>
          </w:p>
        </w:tc>
        <w:tc>
          <w:tcPr>
            <w:tcW w:w="2422" w:type="dxa"/>
            <w:tcBorders>
              <w:top w:val="nil"/>
              <w:left w:val="nil"/>
              <w:bottom w:val="single" w:sz="8" w:space="0" w:color="996633"/>
              <w:right w:val="single" w:sz="8" w:space="0" w:color="996633"/>
            </w:tcBorders>
            <w:tcMar>
              <w:top w:w="0" w:type="dxa"/>
              <w:left w:w="108" w:type="dxa"/>
              <w:bottom w:w="0" w:type="dxa"/>
              <w:right w:w="108" w:type="dxa"/>
            </w:tcMar>
            <w:hideMark/>
          </w:tcPr>
          <w:p w:rsidR="00E34520" w:rsidRDefault="00E34520">
            <w:pPr>
              <w:ind w:right="567"/>
              <w:jc w:val="both"/>
              <w:rPr>
                <w:rFonts w:ascii="Arial" w:hAnsi="Arial" w:cs="Arial"/>
              </w:rPr>
            </w:pPr>
            <w:r>
              <w:rPr>
                <w:rFonts w:ascii="Arial" w:hAnsi="Arial" w:cs="Arial"/>
              </w:rPr>
              <w:t>Approve without conditions</w:t>
            </w:r>
          </w:p>
        </w:tc>
        <w:tc>
          <w:tcPr>
            <w:tcW w:w="1689" w:type="dxa"/>
            <w:tcBorders>
              <w:top w:val="nil"/>
              <w:left w:val="nil"/>
              <w:bottom w:val="single" w:sz="8" w:space="0" w:color="996633"/>
              <w:right w:val="single" w:sz="8" w:space="0" w:color="996633"/>
            </w:tcBorders>
          </w:tcPr>
          <w:p w:rsidR="00E34520" w:rsidRDefault="00E34520">
            <w:pPr>
              <w:ind w:right="567"/>
              <w:jc w:val="both"/>
              <w:rPr>
                <w:rFonts w:ascii="Arial" w:hAnsi="Arial" w:cs="Arial"/>
              </w:rPr>
            </w:pPr>
            <w:r>
              <w:rPr>
                <w:rFonts w:ascii="Arial" w:hAnsi="Arial" w:cs="Arial"/>
              </w:rPr>
              <w:t xml:space="preserve">Approved without conditions </w:t>
            </w:r>
          </w:p>
        </w:tc>
      </w:tr>
      <w:tr w:rsidR="00E34520" w:rsidTr="008D5D96">
        <w:trPr>
          <w:trHeight w:val="493"/>
        </w:trPr>
        <w:tc>
          <w:tcPr>
            <w:tcW w:w="1480"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rsidR="00E34520" w:rsidRDefault="00E34520">
            <w:pPr>
              <w:ind w:right="567"/>
              <w:jc w:val="both"/>
              <w:rPr>
                <w:rFonts w:ascii="Arial" w:hAnsi="Arial" w:cs="Arial"/>
              </w:rPr>
            </w:pPr>
            <w:r>
              <w:rPr>
                <w:rFonts w:ascii="Arial" w:hAnsi="Arial" w:cs="Arial"/>
              </w:rPr>
              <w:t xml:space="preserve">Large merger </w:t>
            </w:r>
          </w:p>
        </w:tc>
        <w:tc>
          <w:tcPr>
            <w:tcW w:w="2631" w:type="dxa"/>
            <w:tcBorders>
              <w:top w:val="nil"/>
              <w:left w:val="nil"/>
              <w:bottom w:val="single" w:sz="8" w:space="0" w:color="996633"/>
              <w:right w:val="single" w:sz="8" w:space="0" w:color="996633"/>
            </w:tcBorders>
            <w:tcMar>
              <w:top w:w="0" w:type="dxa"/>
              <w:left w:w="108" w:type="dxa"/>
              <w:bottom w:w="0" w:type="dxa"/>
              <w:right w:w="108" w:type="dxa"/>
            </w:tcMar>
            <w:hideMark/>
          </w:tcPr>
          <w:p w:rsidR="00E34520" w:rsidRDefault="00E34520">
            <w:pPr>
              <w:ind w:right="567"/>
              <w:jc w:val="both"/>
              <w:rPr>
                <w:rFonts w:ascii="Arial" w:hAnsi="Arial" w:cs="Arial"/>
                <w:color w:val="000000"/>
              </w:rPr>
            </w:pPr>
            <w:r>
              <w:rPr>
                <w:rFonts w:ascii="Arial" w:hAnsi="Arial" w:cs="Arial"/>
                <w:color w:val="000000"/>
              </w:rPr>
              <w:t>Community Property Company (Pty) Ltd And The Immovable Comprising Heidelberg Mall</w:t>
            </w:r>
          </w:p>
        </w:tc>
        <w:tc>
          <w:tcPr>
            <w:tcW w:w="2422" w:type="dxa"/>
            <w:tcBorders>
              <w:top w:val="nil"/>
              <w:left w:val="nil"/>
              <w:bottom w:val="single" w:sz="8" w:space="0" w:color="996633"/>
              <w:right w:val="single" w:sz="8" w:space="0" w:color="996633"/>
            </w:tcBorders>
            <w:tcMar>
              <w:top w:w="0" w:type="dxa"/>
              <w:left w:w="108" w:type="dxa"/>
              <w:bottom w:w="0" w:type="dxa"/>
              <w:right w:w="108" w:type="dxa"/>
            </w:tcMar>
            <w:hideMark/>
          </w:tcPr>
          <w:p w:rsidR="00E34520" w:rsidRDefault="00E34520">
            <w:pPr>
              <w:ind w:right="567"/>
              <w:jc w:val="both"/>
              <w:rPr>
                <w:rFonts w:ascii="Arial" w:hAnsi="Arial" w:cs="Arial"/>
              </w:rPr>
            </w:pPr>
            <w:r>
              <w:rPr>
                <w:rFonts w:ascii="Arial" w:hAnsi="Arial" w:cs="Arial"/>
              </w:rPr>
              <w:t xml:space="preserve">Approve without conditions </w:t>
            </w:r>
          </w:p>
        </w:tc>
        <w:tc>
          <w:tcPr>
            <w:tcW w:w="1689" w:type="dxa"/>
            <w:tcBorders>
              <w:top w:val="nil"/>
              <w:left w:val="nil"/>
              <w:bottom w:val="single" w:sz="8" w:space="0" w:color="996633"/>
              <w:right w:val="single" w:sz="8" w:space="0" w:color="996633"/>
            </w:tcBorders>
          </w:tcPr>
          <w:p w:rsidR="00E34520" w:rsidRDefault="00E34520">
            <w:pPr>
              <w:ind w:right="567"/>
              <w:jc w:val="both"/>
              <w:rPr>
                <w:rFonts w:ascii="Arial" w:hAnsi="Arial" w:cs="Arial"/>
              </w:rPr>
            </w:pPr>
            <w:r>
              <w:rPr>
                <w:rFonts w:ascii="Arial" w:hAnsi="Arial" w:cs="Arial"/>
              </w:rPr>
              <w:t>Approved without conditions</w:t>
            </w:r>
          </w:p>
        </w:tc>
      </w:tr>
      <w:tr w:rsidR="00E34520" w:rsidTr="008D5D96">
        <w:trPr>
          <w:trHeight w:val="493"/>
        </w:trPr>
        <w:tc>
          <w:tcPr>
            <w:tcW w:w="1480"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rsidR="00E34520" w:rsidRDefault="00E34520">
            <w:pPr>
              <w:ind w:right="567"/>
              <w:jc w:val="both"/>
              <w:rPr>
                <w:rFonts w:ascii="Arial" w:hAnsi="Arial" w:cs="Arial"/>
              </w:rPr>
            </w:pPr>
            <w:r>
              <w:rPr>
                <w:rFonts w:ascii="Arial" w:hAnsi="Arial" w:cs="Arial"/>
              </w:rPr>
              <w:t>Large merger</w:t>
            </w:r>
          </w:p>
        </w:tc>
        <w:tc>
          <w:tcPr>
            <w:tcW w:w="2631" w:type="dxa"/>
            <w:tcBorders>
              <w:top w:val="nil"/>
              <w:left w:val="nil"/>
              <w:bottom w:val="single" w:sz="8" w:space="0" w:color="996633"/>
              <w:right w:val="single" w:sz="8" w:space="0" w:color="996633"/>
            </w:tcBorders>
            <w:tcMar>
              <w:top w:w="0" w:type="dxa"/>
              <w:left w:w="108" w:type="dxa"/>
              <w:bottom w:w="0" w:type="dxa"/>
              <w:right w:w="108" w:type="dxa"/>
            </w:tcMar>
            <w:hideMark/>
          </w:tcPr>
          <w:p w:rsidR="00E34520" w:rsidRDefault="00E34520">
            <w:pPr>
              <w:ind w:right="567"/>
              <w:jc w:val="both"/>
              <w:rPr>
                <w:rFonts w:ascii="Arial" w:hAnsi="Arial" w:cs="Arial"/>
                <w:color w:val="000000"/>
              </w:rPr>
            </w:pPr>
            <w:r>
              <w:rPr>
                <w:rFonts w:ascii="Arial" w:hAnsi="Arial" w:cs="Arial"/>
                <w:color w:val="000000"/>
              </w:rPr>
              <w:t>ABSA Bank Ltd And Heights Investment 196 (Pty) Ltd</w:t>
            </w:r>
          </w:p>
        </w:tc>
        <w:tc>
          <w:tcPr>
            <w:tcW w:w="2422" w:type="dxa"/>
            <w:tcBorders>
              <w:top w:val="nil"/>
              <w:left w:val="nil"/>
              <w:bottom w:val="single" w:sz="8" w:space="0" w:color="996633"/>
              <w:right w:val="single" w:sz="8" w:space="0" w:color="996633"/>
            </w:tcBorders>
            <w:tcMar>
              <w:top w:w="0" w:type="dxa"/>
              <w:left w:w="108" w:type="dxa"/>
              <w:bottom w:w="0" w:type="dxa"/>
              <w:right w:w="108" w:type="dxa"/>
            </w:tcMar>
            <w:hideMark/>
          </w:tcPr>
          <w:p w:rsidR="00E34520" w:rsidRDefault="00E34520">
            <w:pPr>
              <w:ind w:right="567"/>
              <w:jc w:val="both"/>
              <w:rPr>
                <w:rFonts w:ascii="Arial" w:hAnsi="Arial" w:cs="Arial"/>
              </w:rPr>
            </w:pPr>
            <w:r>
              <w:rPr>
                <w:rFonts w:ascii="Arial" w:hAnsi="Arial" w:cs="Arial"/>
              </w:rPr>
              <w:t xml:space="preserve">Approve without conditions </w:t>
            </w:r>
          </w:p>
        </w:tc>
        <w:tc>
          <w:tcPr>
            <w:tcW w:w="1689" w:type="dxa"/>
            <w:tcBorders>
              <w:top w:val="nil"/>
              <w:left w:val="nil"/>
              <w:bottom w:val="single" w:sz="8" w:space="0" w:color="996633"/>
              <w:right w:val="single" w:sz="8" w:space="0" w:color="996633"/>
            </w:tcBorders>
          </w:tcPr>
          <w:p w:rsidR="00E34520" w:rsidRDefault="00E34520">
            <w:pPr>
              <w:ind w:right="567"/>
              <w:jc w:val="both"/>
              <w:rPr>
                <w:rFonts w:ascii="Arial" w:hAnsi="Arial" w:cs="Arial"/>
              </w:rPr>
            </w:pPr>
            <w:r>
              <w:rPr>
                <w:rFonts w:ascii="Arial" w:hAnsi="Arial" w:cs="Arial"/>
              </w:rPr>
              <w:t>Approved without conditions</w:t>
            </w:r>
          </w:p>
        </w:tc>
      </w:tr>
      <w:tr w:rsidR="00E34520" w:rsidTr="008D5D96">
        <w:trPr>
          <w:trHeight w:val="493"/>
        </w:trPr>
        <w:tc>
          <w:tcPr>
            <w:tcW w:w="1480"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rsidR="00E34520" w:rsidRDefault="00E34520">
            <w:pPr>
              <w:ind w:right="567"/>
              <w:jc w:val="both"/>
              <w:rPr>
                <w:rFonts w:ascii="Arial" w:hAnsi="Arial" w:cs="Arial"/>
              </w:rPr>
            </w:pPr>
            <w:r>
              <w:rPr>
                <w:rFonts w:ascii="Arial" w:hAnsi="Arial" w:cs="Arial"/>
              </w:rPr>
              <w:t xml:space="preserve">Large merger </w:t>
            </w:r>
          </w:p>
        </w:tc>
        <w:tc>
          <w:tcPr>
            <w:tcW w:w="2631" w:type="dxa"/>
            <w:tcBorders>
              <w:top w:val="nil"/>
              <w:left w:val="nil"/>
              <w:bottom w:val="single" w:sz="8" w:space="0" w:color="996633"/>
              <w:right w:val="single" w:sz="8" w:space="0" w:color="996633"/>
            </w:tcBorders>
            <w:tcMar>
              <w:top w:w="0" w:type="dxa"/>
              <w:left w:w="108" w:type="dxa"/>
              <w:bottom w:w="0" w:type="dxa"/>
              <w:right w:w="108" w:type="dxa"/>
            </w:tcMar>
            <w:hideMark/>
          </w:tcPr>
          <w:p w:rsidR="00E34520" w:rsidRDefault="00E34520">
            <w:pPr>
              <w:ind w:right="567"/>
              <w:jc w:val="both"/>
              <w:rPr>
                <w:rFonts w:ascii="Arial" w:hAnsi="Arial" w:cs="Arial"/>
                <w:color w:val="000000"/>
              </w:rPr>
            </w:pPr>
            <w:r>
              <w:rPr>
                <w:rFonts w:ascii="Arial" w:hAnsi="Arial" w:cs="Arial"/>
                <w:color w:val="000000"/>
              </w:rPr>
              <w:t>McCarthy (Pty) Ltd And Cargen (Pty) Ltd Specifically the Paarl Ford  and Mazda Motor Dealership and the Stellenbosch Ford Dealership</w:t>
            </w:r>
          </w:p>
        </w:tc>
        <w:tc>
          <w:tcPr>
            <w:tcW w:w="2422" w:type="dxa"/>
            <w:tcBorders>
              <w:top w:val="nil"/>
              <w:left w:val="nil"/>
              <w:bottom w:val="single" w:sz="8" w:space="0" w:color="996633"/>
              <w:right w:val="single" w:sz="8" w:space="0" w:color="996633"/>
            </w:tcBorders>
            <w:tcMar>
              <w:top w:w="0" w:type="dxa"/>
              <w:left w:w="108" w:type="dxa"/>
              <w:bottom w:w="0" w:type="dxa"/>
              <w:right w:w="108" w:type="dxa"/>
            </w:tcMar>
            <w:hideMark/>
          </w:tcPr>
          <w:p w:rsidR="00E34520" w:rsidRDefault="00E34520">
            <w:pPr>
              <w:ind w:right="567"/>
              <w:jc w:val="both"/>
              <w:rPr>
                <w:rFonts w:ascii="Arial" w:hAnsi="Arial" w:cs="Arial"/>
              </w:rPr>
            </w:pPr>
            <w:r>
              <w:rPr>
                <w:rFonts w:ascii="Arial" w:hAnsi="Arial" w:cs="Arial"/>
              </w:rPr>
              <w:t xml:space="preserve">Approve without conditions </w:t>
            </w:r>
          </w:p>
        </w:tc>
        <w:tc>
          <w:tcPr>
            <w:tcW w:w="1689" w:type="dxa"/>
            <w:tcBorders>
              <w:top w:val="nil"/>
              <w:left w:val="nil"/>
              <w:bottom w:val="single" w:sz="8" w:space="0" w:color="996633"/>
              <w:right w:val="single" w:sz="8" w:space="0" w:color="996633"/>
            </w:tcBorders>
          </w:tcPr>
          <w:p w:rsidR="00E34520" w:rsidRDefault="00E34520">
            <w:pPr>
              <w:ind w:right="567"/>
              <w:jc w:val="both"/>
              <w:rPr>
                <w:rFonts w:ascii="Arial" w:hAnsi="Arial" w:cs="Arial"/>
              </w:rPr>
            </w:pPr>
            <w:r>
              <w:rPr>
                <w:rFonts w:ascii="Arial" w:hAnsi="Arial" w:cs="Arial"/>
              </w:rPr>
              <w:t>Approved without conditions</w:t>
            </w:r>
          </w:p>
        </w:tc>
      </w:tr>
    </w:tbl>
    <w:p w:rsidR="00E34520" w:rsidRDefault="00E34520" w:rsidP="00E34520">
      <w:pPr>
        <w:shd w:val="clear" w:color="auto" w:fill="FFFFFF"/>
        <w:spacing w:line="276" w:lineRule="auto"/>
        <w:ind w:left="567" w:right="567"/>
        <w:jc w:val="both"/>
        <w:rPr>
          <w:rFonts w:ascii="Arial" w:hAnsi="Arial" w:cs="Arial"/>
          <w:b/>
          <w:bCs/>
        </w:rPr>
      </w:pPr>
    </w:p>
    <w:p w:rsidR="00E34520" w:rsidRDefault="00E34520" w:rsidP="00076628">
      <w:pPr>
        <w:shd w:val="clear" w:color="auto" w:fill="FFFFFF"/>
        <w:spacing w:line="276" w:lineRule="auto"/>
        <w:ind w:left="454" w:right="454"/>
        <w:jc w:val="both"/>
        <w:rPr>
          <w:rFonts w:ascii="Arial" w:hAnsi="Arial" w:cs="Arial"/>
          <w:b/>
          <w:bCs/>
        </w:rPr>
      </w:pPr>
    </w:p>
    <w:p w:rsidR="00E34520" w:rsidRDefault="001348A7" w:rsidP="00076628">
      <w:pPr>
        <w:shd w:val="clear" w:color="auto" w:fill="FFFFFF"/>
        <w:spacing w:line="276" w:lineRule="auto"/>
        <w:ind w:left="454" w:right="454"/>
        <w:jc w:val="both"/>
        <w:rPr>
          <w:rFonts w:ascii="Arial" w:hAnsi="Arial" w:cs="Arial"/>
          <w:b/>
          <w:bCs/>
        </w:rPr>
      </w:pPr>
      <w:r>
        <w:rPr>
          <w:rFonts w:ascii="Arial" w:hAnsi="Arial" w:cs="Arial"/>
          <w:b/>
          <w:bCs/>
        </w:rPr>
        <w:t xml:space="preserve">PSG Retirement Holdings will </w:t>
      </w:r>
      <w:r w:rsidR="00E34520">
        <w:rPr>
          <w:rFonts w:ascii="Arial" w:hAnsi="Arial" w:cs="Arial"/>
          <w:b/>
          <w:bCs/>
        </w:rPr>
        <w:t>acquire Evergreen Retirement Holding  </w:t>
      </w:r>
    </w:p>
    <w:p w:rsidR="00E34520" w:rsidRDefault="00E34520" w:rsidP="00076628">
      <w:pPr>
        <w:shd w:val="clear" w:color="auto" w:fill="FFFFFF"/>
        <w:spacing w:line="276" w:lineRule="auto"/>
        <w:ind w:left="454" w:right="454"/>
        <w:jc w:val="both"/>
        <w:rPr>
          <w:rFonts w:ascii="Arial" w:hAnsi="Arial" w:cs="Arial"/>
          <w:b/>
          <w:bCs/>
          <w:lang w:val="en-GB"/>
        </w:rPr>
      </w:pPr>
    </w:p>
    <w:p w:rsidR="00E34520" w:rsidRDefault="00E34520" w:rsidP="00076628">
      <w:pPr>
        <w:shd w:val="clear" w:color="auto" w:fill="FFFFFF"/>
        <w:spacing w:line="276" w:lineRule="auto"/>
        <w:ind w:left="454" w:right="454"/>
        <w:jc w:val="both"/>
        <w:rPr>
          <w:rFonts w:ascii="Arial" w:hAnsi="Arial" w:cs="Arial"/>
          <w:lang w:val="en-GB"/>
        </w:rPr>
      </w:pPr>
      <w:r>
        <w:rPr>
          <w:rFonts w:ascii="Arial" w:hAnsi="Arial" w:cs="Arial"/>
          <w:lang w:val="en-GB"/>
        </w:rPr>
        <w:t>Competition Tribunal</w:t>
      </w:r>
      <w:r>
        <w:rPr>
          <w:rFonts w:ascii="Arial" w:hAnsi="Arial" w:cs="Arial"/>
          <w:lang w:val="en-GB"/>
        </w:rPr>
        <w:t xml:space="preserve"> has approved the merger between </w:t>
      </w:r>
      <w:r>
        <w:rPr>
          <w:rFonts w:ascii="Arial" w:hAnsi="Arial" w:cs="Arial"/>
          <w:lang w:val="en-GB"/>
        </w:rPr>
        <w:t xml:space="preserve">PSG Retirement Holdings (Pty) Ltd (PSG Retirement) </w:t>
      </w:r>
      <w:r>
        <w:rPr>
          <w:rFonts w:ascii="Arial" w:hAnsi="Arial" w:cs="Arial"/>
          <w:lang w:val="en-GB"/>
        </w:rPr>
        <w:t xml:space="preserve">and </w:t>
      </w:r>
      <w:r>
        <w:rPr>
          <w:rFonts w:ascii="Arial" w:hAnsi="Arial" w:cs="Arial"/>
          <w:lang w:val="en-GB"/>
        </w:rPr>
        <w:t>Evergreen Reti</w:t>
      </w:r>
      <w:r>
        <w:rPr>
          <w:rFonts w:ascii="Arial" w:hAnsi="Arial" w:cs="Arial"/>
          <w:lang w:val="en-GB"/>
        </w:rPr>
        <w:t xml:space="preserve">rement Holdings (Pty) Ltd (ERH) without conditions. </w:t>
      </w:r>
    </w:p>
    <w:p w:rsidR="00E34520" w:rsidRDefault="00E34520" w:rsidP="00076628">
      <w:pPr>
        <w:shd w:val="clear" w:color="auto" w:fill="FFFFFF"/>
        <w:spacing w:line="276" w:lineRule="auto"/>
        <w:ind w:left="454" w:right="454"/>
        <w:jc w:val="both"/>
        <w:rPr>
          <w:rFonts w:ascii="Arial" w:hAnsi="Arial" w:cs="Arial"/>
          <w:lang w:val="en-GB"/>
        </w:rPr>
      </w:pPr>
    </w:p>
    <w:p w:rsidR="00E34520" w:rsidRDefault="00E34520" w:rsidP="00076628">
      <w:pPr>
        <w:spacing w:line="276" w:lineRule="auto"/>
        <w:ind w:left="454" w:right="454"/>
        <w:jc w:val="both"/>
        <w:rPr>
          <w:rFonts w:ascii="Arial" w:hAnsi="Arial" w:cs="Arial"/>
          <w:lang w:val="en-GB"/>
        </w:rPr>
      </w:pPr>
      <w:r>
        <w:rPr>
          <w:rFonts w:ascii="Arial" w:hAnsi="Arial" w:cs="Arial"/>
          <w:lang w:val="en-GB"/>
        </w:rPr>
        <w:t>The PSG Group of companies holds controlling and non-controlling interests in a number of public and private companies across</w:t>
      </w:r>
      <w:r w:rsidR="00F83023">
        <w:rPr>
          <w:rFonts w:ascii="Arial" w:hAnsi="Arial" w:cs="Arial"/>
          <w:lang w:val="en-GB"/>
        </w:rPr>
        <w:t xml:space="preserve"> a broad spectrum of industries</w:t>
      </w:r>
      <w:r>
        <w:rPr>
          <w:rFonts w:ascii="Arial" w:hAnsi="Arial" w:cs="Arial"/>
          <w:lang w:val="en-GB"/>
        </w:rPr>
        <w:t xml:space="preserve"> which includes banking, education, financial services and the food sector. PSG Financial Services is the primary investments company for the acquiring group. In its capacity as a holding company, it does not sell any products or provide any services.  PSG Retirement is a newly established firm and is not active in the market for retirement accommodation in South Africa. </w:t>
      </w:r>
    </w:p>
    <w:p w:rsidR="00E34520" w:rsidRDefault="00E34520" w:rsidP="00076628">
      <w:pPr>
        <w:spacing w:line="276" w:lineRule="auto"/>
        <w:ind w:left="454" w:right="454"/>
        <w:jc w:val="both"/>
        <w:rPr>
          <w:rFonts w:ascii="Arial" w:hAnsi="Arial" w:cs="Arial"/>
          <w:lang w:val="en-GB"/>
        </w:rPr>
      </w:pPr>
    </w:p>
    <w:p w:rsidR="00E34520" w:rsidRDefault="00E34520" w:rsidP="00076628">
      <w:pPr>
        <w:spacing w:line="276" w:lineRule="auto"/>
        <w:ind w:left="454" w:right="454"/>
        <w:jc w:val="both"/>
        <w:rPr>
          <w:rFonts w:ascii="Arial" w:hAnsi="Arial" w:cs="Arial"/>
          <w:lang w:val="en-GB"/>
        </w:rPr>
      </w:pPr>
      <w:r>
        <w:rPr>
          <w:rFonts w:ascii="Arial" w:hAnsi="Arial" w:cs="Arial"/>
          <w:lang w:val="en-GB"/>
        </w:rPr>
        <w:t xml:space="preserve">The target group Evergreen Retirement Holdings is a developer, owner and manager of retirement villages in the private sector and is privately owned by Amdec Investments. It has lifestyle villages situated in the Western Cape and surrounding areas and Johannesburg, in Gauteng. </w:t>
      </w:r>
    </w:p>
    <w:p w:rsidR="00E34520" w:rsidRDefault="00E34520" w:rsidP="00076628">
      <w:pPr>
        <w:spacing w:line="276" w:lineRule="auto"/>
        <w:ind w:left="454" w:right="454"/>
        <w:jc w:val="both"/>
        <w:rPr>
          <w:rFonts w:ascii="Arial" w:hAnsi="Arial" w:cs="Arial"/>
          <w:lang w:val="en-GB"/>
        </w:rPr>
      </w:pPr>
    </w:p>
    <w:p w:rsidR="00E34520" w:rsidRDefault="00E34520" w:rsidP="00076628">
      <w:pPr>
        <w:spacing w:line="276" w:lineRule="auto"/>
        <w:ind w:left="454" w:right="454"/>
        <w:jc w:val="both"/>
        <w:rPr>
          <w:rFonts w:ascii="Arial" w:hAnsi="Arial" w:cs="Arial"/>
          <w:lang w:val="en-GB"/>
        </w:rPr>
      </w:pPr>
      <w:r>
        <w:rPr>
          <w:rFonts w:ascii="Arial" w:hAnsi="Arial" w:cs="Arial"/>
          <w:lang w:val="en-GB"/>
        </w:rPr>
        <w:t xml:space="preserve">The merged entity </w:t>
      </w:r>
      <w:r>
        <w:rPr>
          <w:rFonts w:ascii="Arial" w:hAnsi="Arial" w:cs="Arial"/>
          <w:lang w:val="en-GB"/>
        </w:rPr>
        <w:t>will be controlled joint</w:t>
      </w:r>
      <w:r>
        <w:rPr>
          <w:rFonts w:ascii="Arial" w:hAnsi="Arial" w:cs="Arial"/>
          <w:lang w:val="en-GB"/>
        </w:rPr>
        <w:t>ly by Amdec and PSG Retirement.</w:t>
      </w:r>
    </w:p>
    <w:p w:rsidR="00E34520" w:rsidRDefault="00E34520" w:rsidP="00076628">
      <w:pPr>
        <w:spacing w:line="276" w:lineRule="auto"/>
        <w:ind w:left="454" w:right="454"/>
        <w:jc w:val="both"/>
        <w:rPr>
          <w:rFonts w:ascii="Arial" w:hAnsi="Arial" w:cs="Arial"/>
          <w:lang w:val="en-GB"/>
        </w:rPr>
      </w:pPr>
    </w:p>
    <w:p w:rsidR="00E34520" w:rsidRDefault="00E34520" w:rsidP="00076628">
      <w:pPr>
        <w:shd w:val="clear" w:color="auto" w:fill="FFFFFF"/>
        <w:spacing w:line="276" w:lineRule="auto"/>
        <w:ind w:left="454" w:right="454"/>
        <w:contextualSpacing/>
        <w:jc w:val="both"/>
        <w:rPr>
          <w:rFonts w:ascii="Arial" w:hAnsi="Arial" w:cs="Arial"/>
          <w:b/>
          <w:bCs/>
          <w:lang w:val="en-GB"/>
        </w:rPr>
      </w:pPr>
      <w:r>
        <w:rPr>
          <w:rFonts w:ascii="Arial" w:hAnsi="Arial" w:cs="Arial"/>
          <w:b/>
          <w:bCs/>
        </w:rPr>
        <w:t>Commun</w:t>
      </w:r>
      <w:r w:rsidR="001348A7">
        <w:rPr>
          <w:rFonts w:ascii="Arial" w:hAnsi="Arial" w:cs="Arial"/>
          <w:b/>
          <w:bCs/>
        </w:rPr>
        <w:t xml:space="preserve">ity Property Company transaction involving </w:t>
      </w:r>
      <w:r w:rsidR="009E1B69">
        <w:rPr>
          <w:rFonts w:ascii="Arial" w:hAnsi="Arial" w:cs="Arial"/>
          <w:b/>
          <w:bCs/>
        </w:rPr>
        <w:t>Heidelberg Mall </w:t>
      </w:r>
      <w:r w:rsidR="001348A7">
        <w:rPr>
          <w:rFonts w:ascii="Arial" w:hAnsi="Arial" w:cs="Arial"/>
          <w:b/>
          <w:bCs/>
        </w:rPr>
        <w:t>approved</w:t>
      </w:r>
    </w:p>
    <w:p w:rsidR="00E34520" w:rsidRDefault="00E34520" w:rsidP="00076628">
      <w:pPr>
        <w:shd w:val="clear" w:color="auto" w:fill="FFFFFF"/>
        <w:spacing w:line="276" w:lineRule="auto"/>
        <w:ind w:left="454" w:right="454"/>
        <w:jc w:val="both"/>
        <w:rPr>
          <w:rFonts w:ascii="Arial" w:hAnsi="Arial" w:cs="Arial"/>
          <w:b/>
          <w:bCs/>
          <w:lang w:val="en-GB"/>
        </w:rPr>
      </w:pPr>
    </w:p>
    <w:p w:rsidR="00E34520" w:rsidRDefault="00E34520" w:rsidP="00076628">
      <w:pPr>
        <w:shd w:val="clear" w:color="auto" w:fill="FFFFFF"/>
        <w:spacing w:line="276" w:lineRule="auto"/>
        <w:ind w:left="454" w:right="454"/>
        <w:jc w:val="both"/>
        <w:rPr>
          <w:rFonts w:ascii="Arial" w:hAnsi="Arial" w:cs="Arial"/>
          <w:lang w:val="en-GB"/>
        </w:rPr>
      </w:pPr>
      <w:r>
        <w:rPr>
          <w:rFonts w:ascii="Arial" w:hAnsi="Arial" w:cs="Arial"/>
          <w:lang w:val="en-GB"/>
        </w:rPr>
        <w:t xml:space="preserve">The Tribunal </w:t>
      </w:r>
      <w:r>
        <w:rPr>
          <w:rFonts w:ascii="Arial" w:hAnsi="Arial" w:cs="Arial"/>
          <w:lang w:val="en-GB"/>
        </w:rPr>
        <w:t xml:space="preserve">has approved the merger whereby </w:t>
      </w:r>
      <w:r>
        <w:rPr>
          <w:rFonts w:ascii="Arial" w:hAnsi="Arial" w:cs="Arial"/>
          <w:lang w:val="en-GB"/>
        </w:rPr>
        <w:t xml:space="preserve">Community Property Company (Pty) Ltd (CPC) </w:t>
      </w:r>
      <w:r>
        <w:rPr>
          <w:rFonts w:ascii="Arial" w:hAnsi="Arial" w:cs="Arial"/>
          <w:lang w:val="en-GB"/>
        </w:rPr>
        <w:t xml:space="preserve">will </w:t>
      </w:r>
      <w:r w:rsidR="00F83023">
        <w:rPr>
          <w:rFonts w:ascii="Arial" w:hAnsi="Arial" w:cs="Arial"/>
          <w:lang w:val="en-GB"/>
        </w:rPr>
        <w:t xml:space="preserve">acquire </w:t>
      </w:r>
      <w:r>
        <w:rPr>
          <w:rFonts w:ascii="Arial" w:hAnsi="Arial" w:cs="Arial"/>
          <w:lang w:val="en-GB"/>
        </w:rPr>
        <w:t>Heidelberg Mall.</w:t>
      </w:r>
    </w:p>
    <w:p w:rsidR="00E34520" w:rsidRDefault="00E34520" w:rsidP="00076628">
      <w:pPr>
        <w:shd w:val="clear" w:color="auto" w:fill="FFFFFF"/>
        <w:spacing w:line="276" w:lineRule="auto"/>
        <w:ind w:left="454" w:right="454"/>
        <w:jc w:val="both"/>
        <w:rPr>
          <w:rFonts w:ascii="Arial" w:hAnsi="Arial" w:cs="Arial"/>
          <w:lang w:val="en-GB"/>
        </w:rPr>
      </w:pPr>
    </w:p>
    <w:p w:rsidR="00E34520" w:rsidRDefault="00E34520" w:rsidP="00076628">
      <w:pPr>
        <w:spacing w:line="276" w:lineRule="auto"/>
        <w:ind w:left="454" w:right="454"/>
        <w:jc w:val="both"/>
        <w:rPr>
          <w:rFonts w:ascii="Arial" w:hAnsi="Arial" w:cs="Arial"/>
          <w:lang w:val="en-GB"/>
        </w:rPr>
      </w:pPr>
      <w:r>
        <w:rPr>
          <w:rFonts w:ascii="Arial" w:hAnsi="Arial" w:cs="Arial"/>
          <w:lang w:val="en-GB"/>
        </w:rPr>
        <w:t>CPC is a property holding and investment company that specialises in the acquisition of new and existing shopping centres which cater to the needs of underserviced communities throughout South Africa. CPC does not control any firm but it invests in retail property. It owns retail properties throughout the country.</w:t>
      </w:r>
    </w:p>
    <w:p w:rsidR="00E34520" w:rsidRDefault="00E34520" w:rsidP="00076628">
      <w:pPr>
        <w:spacing w:line="276" w:lineRule="auto"/>
        <w:ind w:left="454" w:right="454"/>
        <w:jc w:val="both"/>
        <w:rPr>
          <w:rFonts w:ascii="Arial" w:hAnsi="Arial" w:cs="Arial"/>
          <w:lang w:val="en-GB"/>
        </w:rPr>
      </w:pPr>
    </w:p>
    <w:p w:rsidR="00E34520" w:rsidRDefault="00E34520" w:rsidP="00076628">
      <w:pPr>
        <w:spacing w:line="276" w:lineRule="auto"/>
        <w:ind w:left="454" w:right="454"/>
        <w:jc w:val="both"/>
        <w:rPr>
          <w:rFonts w:ascii="Arial" w:hAnsi="Arial" w:cs="Arial"/>
          <w:lang w:val="en-GB"/>
        </w:rPr>
      </w:pPr>
      <w:r>
        <w:rPr>
          <w:rFonts w:ascii="Arial" w:hAnsi="Arial" w:cs="Arial"/>
          <w:lang w:val="en-GB"/>
        </w:rPr>
        <w:t>The Heidelberg Mall is a regional shopping centre situated at Jacobs Street, Military Base, Heidelberg, Gauteng. It only comprises retail letting and storage space. The Mall is situated off the N3 highway between the suburb of Bersig and the existing Heidelberg CBD.</w:t>
      </w:r>
    </w:p>
    <w:p w:rsidR="00E34520" w:rsidRDefault="00E34520" w:rsidP="00076628">
      <w:pPr>
        <w:shd w:val="clear" w:color="auto" w:fill="FFFFFF"/>
        <w:spacing w:line="276" w:lineRule="auto"/>
        <w:ind w:left="454" w:right="454"/>
        <w:jc w:val="both"/>
        <w:rPr>
          <w:rFonts w:ascii="Arial" w:hAnsi="Arial" w:cs="Arial"/>
          <w:lang w:val="en-GB"/>
        </w:rPr>
      </w:pPr>
    </w:p>
    <w:p w:rsidR="00E34520" w:rsidRDefault="00E34520" w:rsidP="00076628">
      <w:pPr>
        <w:shd w:val="clear" w:color="auto" w:fill="FFFFFF"/>
        <w:spacing w:line="276" w:lineRule="auto"/>
        <w:ind w:left="454" w:right="454"/>
        <w:jc w:val="both"/>
        <w:rPr>
          <w:rFonts w:ascii="Arial" w:hAnsi="Arial" w:cs="Arial"/>
          <w:b/>
          <w:bCs/>
          <w:lang w:val="en-GB"/>
        </w:rPr>
      </w:pPr>
      <w:r>
        <w:rPr>
          <w:rFonts w:ascii="Arial" w:hAnsi="Arial" w:cs="Arial"/>
          <w:lang w:val="en-GB"/>
        </w:rPr>
        <w:t xml:space="preserve">The </w:t>
      </w:r>
      <w:r>
        <w:rPr>
          <w:rFonts w:ascii="Arial" w:hAnsi="Arial" w:cs="Arial"/>
          <w:lang w:val="en-GB"/>
        </w:rPr>
        <w:t xml:space="preserve">merger has been approved without conditions. </w:t>
      </w:r>
    </w:p>
    <w:p w:rsidR="00E34520" w:rsidRDefault="00E34520" w:rsidP="00076628">
      <w:pPr>
        <w:shd w:val="clear" w:color="auto" w:fill="FFFFFF"/>
        <w:spacing w:line="276" w:lineRule="auto"/>
        <w:ind w:left="454" w:right="454"/>
        <w:jc w:val="both"/>
        <w:rPr>
          <w:rFonts w:ascii="Arial" w:hAnsi="Arial" w:cs="Arial"/>
          <w:b/>
          <w:bCs/>
        </w:rPr>
      </w:pPr>
    </w:p>
    <w:p w:rsidR="00E34520" w:rsidRDefault="00E34520" w:rsidP="00076628">
      <w:pPr>
        <w:shd w:val="clear" w:color="auto" w:fill="FFFFFF"/>
        <w:spacing w:line="276" w:lineRule="auto"/>
        <w:ind w:left="454" w:right="454"/>
        <w:jc w:val="both"/>
        <w:rPr>
          <w:rFonts w:ascii="Arial" w:hAnsi="Arial" w:cs="Arial"/>
          <w:b/>
          <w:bCs/>
        </w:rPr>
      </w:pPr>
      <w:r>
        <w:rPr>
          <w:rFonts w:ascii="Arial" w:hAnsi="Arial" w:cs="Arial"/>
          <w:b/>
          <w:bCs/>
        </w:rPr>
        <w:t xml:space="preserve">Absa Bank Ltd acquires </w:t>
      </w:r>
      <w:r>
        <w:rPr>
          <w:rFonts w:ascii="Arial" w:hAnsi="Arial" w:cs="Arial"/>
          <w:b/>
          <w:bCs/>
        </w:rPr>
        <w:t xml:space="preserve">Sandton properties </w:t>
      </w:r>
    </w:p>
    <w:p w:rsidR="00E34520" w:rsidRDefault="00E34520" w:rsidP="00076628">
      <w:pPr>
        <w:shd w:val="clear" w:color="auto" w:fill="FFFFFF"/>
        <w:spacing w:line="276" w:lineRule="auto"/>
        <w:ind w:left="454" w:right="454"/>
        <w:jc w:val="both"/>
        <w:rPr>
          <w:rFonts w:ascii="Arial" w:hAnsi="Arial" w:cs="Arial"/>
          <w:b/>
          <w:bCs/>
          <w:lang w:val="en-GB"/>
        </w:rPr>
      </w:pPr>
    </w:p>
    <w:p w:rsidR="00E34520" w:rsidRDefault="00E34520" w:rsidP="00076628">
      <w:pPr>
        <w:spacing w:line="276" w:lineRule="auto"/>
        <w:ind w:left="454" w:right="454"/>
        <w:jc w:val="both"/>
        <w:rPr>
          <w:rFonts w:ascii="Arial" w:hAnsi="Arial" w:cs="Arial"/>
          <w:lang w:val="en-GB"/>
        </w:rPr>
      </w:pPr>
      <w:r>
        <w:rPr>
          <w:rFonts w:ascii="Arial" w:hAnsi="Arial" w:cs="Arial"/>
          <w:lang w:val="en-GB"/>
        </w:rPr>
        <w:t xml:space="preserve">The Tribunal </w:t>
      </w:r>
      <w:r>
        <w:rPr>
          <w:rFonts w:ascii="Arial" w:hAnsi="Arial" w:cs="Arial"/>
          <w:lang w:val="en-GB"/>
        </w:rPr>
        <w:t xml:space="preserve">has approved a transaction whereby </w:t>
      </w:r>
      <w:r>
        <w:rPr>
          <w:rFonts w:ascii="Arial" w:hAnsi="Arial" w:cs="Arial"/>
          <w:lang w:val="en-GB"/>
        </w:rPr>
        <w:t xml:space="preserve">Absa Bank Limited (Absa Bank) </w:t>
      </w:r>
      <w:r w:rsidR="009E1B69">
        <w:rPr>
          <w:rFonts w:ascii="Arial" w:hAnsi="Arial" w:cs="Arial"/>
          <w:lang w:val="en-GB"/>
        </w:rPr>
        <w:t xml:space="preserve">will acquire Sandton properties belonging to </w:t>
      </w:r>
      <w:r>
        <w:rPr>
          <w:rFonts w:ascii="Arial" w:hAnsi="Arial" w:cs="Arial"/>
          <w:lang w:val="en-GB"/>
        </w:rPr>
        <w:t>Pacific Heights Investments 196 (Pty) Ltd (Pacific Heights). The transaction is in the market for rentable residential property in the Sand</w:t>
      </w:r>
      <w:r>
        <w:rPr>
          <w:rFonts w:ascii="Arial" w:hAnsi="Arial" w:cs="Arial"/>
          <w:lang w:val="en-GB"/>
        </w:rPr>
        <w:t>ton Property Market.</w:t>
      </w:r>
    </w:p>
    <w:p w:rsidR="00E34520" w:rsidRDefault="00E34520" w:rsidP="00076628">
      <w:pPr>
        <w:shd w:val="clear" w:color="auto" w:fill="FFFFFF"/>
        <w:spacing w:line="276" w:lineRule="auto"/>
        <w:ind w:left="454" w:right="454"/>
        <w:jc w:val="both"/>
        <w:rPr>
          <w:rFonts w:ascii="Arial" w:hAnsi="Arial" w:cs="Arial"/>
          <w:lang w:val="en-GB"/>
        </w:rPr>
      </w:pPr>
    </w:p>
    <w:p w:rsidR="00E34520" w:rsidRDefault="00E34520" w:rsidP="00076628">
      <w:pPr>
        <w:spacing w:line="276" w:lineRule="auto"/>
        <w:ind w:left="454" w:right="454"/>
        <w:jc w:val="both"/>
        <w:rPr>
          <w:rFonts w:ascii="Arial" w:hAnsi="Arial" w:cs="Arial"/>
          <w:lang w:val="en-GB"/>
        </w:rPr>
      </w:pPr>
      <w:r>
        <w:rPr>
          <w:rFonts w:ascii="Arial" w:hAnsi="Arial" w:cs="Arial"/>
          <w:lang w:val="en-GB"/>
        </w:rPr>
        <w:t xml:space="preserve">Absa Bank is a financial services provider which provides a diverse range of retail, business, corporate and investment banking services, while Pacific Heights is active in the market for the acquisition, investment and letting of property assets. </w:t>
      </w:r>
    </w:p>
    <w:p w:rsidR="00E34520" w:rsidRDefault="00E34520" w:rsidP="00076628">
      <w:pPr>
        <w:spacing w:line="276" w:lineRule="auto"/>
        <w:ind w:left="454" w:right="454"/>
        <w:jc w:val="both"/>
        <w:rPr>
          <w:rFonts w:ascii="Arial" w:hAnsi="Arial" w:cs="Arial"/>
          <w:lang w:val="en-GB"/>
        </w:rPr>
      </w:pPr>
    </w:p>
    <w:p w:rsidR="00E34520" w:rsidRDefault="00E34520" w:rsidP="00076628">
      <w:pPr>
        <w:spacing w:line="276" w:lineRule="auto"/>
        <w:ind w:left="454" w:right="454"/>
        <w:jc w:val="both"/>
        <w:rPr>
          <w:rFonts w:ascii="Arial" w:hAnsi="Arial" w:cs="Arial"/>
          <w:lang w:val="en-GB"/>
        </w:rPr>
      </w:pPr>
      <w:r>
        <w:rPr>
          <w:rFonts w:ascii="Arial" w:hAnsi="Arial" w:cs="Arial"/>
          <w:lang w:val="en-GB"/>
        </w:rPr>
        <w:t>The transaction involves Absa’s acquisition of two property letting enterpr</w:t>
      </w:r>
      <w:r w:rsidR="00F83023">
        <w:rPr>
          <w:rFonts w:ascii="Arial" w:hAnsi="Arial" w:cs="Arial"/>
          <w:lang w:val="en-GB"/>
        </w:rPr>
        <w:t>ises, Caroway Lane and Sandown Woods. The</w:t>
      </w:r>
      <w:r>
        <w:rPr>
          <w:rFonts w:ascii="Arial" w:hAnsi="Arial" w:cs="Arial"/>
          <w:lang w:val="en-GB"/>
        </w:rPr>
        <w:t xml:space="preserve"> merger</w:t>
      </w:r>
      <w:r w:rsidR="00F83023">
        <w:rPr>
          <w:rFonts w:ascii="Arial" w:hAnsi="Arial" w:cs="Arial"/>
          <w:lang w:val="en-GB"/>
        </w:rPr>
        <w:t xml:space="preserve"> has been </w:t>
      </w:r>
      <w:r>
        <w:rPr>
          <w:rFonts w:ascii="Arial" w:hAnsi="Arial" w:cs="Arial"/>
          <w:lang w:val="en-GB"/>
        </w:rPr>
        <w:t xml:space="preserve">approved without conditions. </w:t>
      </w:r>
    </w:p>
    <w:p w:rsidR="00E34520" w:rsidRDefault="00E34520" w:rsidP="00076628">
      <w:pPr>
        <w:ind w:left="454" w:right="454"/>
        <w:rPr>
          <w:rFonts w:ascii="Arial" w:hAnsi="Arial" w:cs="Arial"/>
        </w:rPr>
      </w:pPr>
    </w:p>
    <w:p w:rsidR="00E34520" w:rsidRDefault="00E34520" w:rsidP="00076628">
      <w:pPr>
        <w:shd w:val="clear" w:color="auto" w:fill="FFFFFF"/>
        <w:spacing w:line="276" w:lineRule="auto"/>
        <w:ind w:left="454" w:right="454"/>
        <w:jc w:val="both"/>
        <w:rPr>
          <w:rFonts w:ascii="Arial" w:hAnsi="Arial" w:cs="Arial"/>
          <w:b/>
          <w:bCs/>
          <w:lang w:val="en-GB"/>
        </w:rPr>
      </w:pPr>
      <w:r>
        <w:rPr>
          <w:rFonts w:ascii="Arial" w:hAnsi="Arial" w:cs="Arial"/>
          <w:b/>
          <w:bCs/>
          <w:lang w:val="en-GB"/>
        </w:rPr>
        <w:t xml:space="preserve">McCarthy Ltd </w:t>
      </w:r>
      <w:r w:rsidR="00CA747B">
        <w:rPr>
          <w:rFonts w:ascii="Arial" w:hAnsi="Arial" w:cs="Arial"/>
          <w:b/>
          <w:bCs/>
          <w:lang w:val="en-GB"/>
        </w:rPr>
        <w:t>transaction</w:t>
      </w:r>
      <w:r>
        <w:rPr>
          <w:rFonts w:ascii="Arial" w:hAnsi="Arial" w:cs="Arial"/>
          <w:b/>
          <w:bCs/>
          <w:lang w:val="en-GB"/>
        </w:rPr>
        <w:t xml:space="preserve"> involving Cargen (Pty) Ltd, specifically the Paarl Ford &amp; Mazda dealership and the Stellenbosch Ford dealership </w:t>
      </w:r>
    </w:p>
    <w:p w:rsidR="00E34520" w:rsidRDefault="00E34520" w:rsidP="00076628">
      <w:pPr>
        <w:shd w:val="clear" w:color="auto" w:fill="FFFFFF"/>
        <w:spacing w:line="276" w:lineRule="auto"/>
        <w:ind w:left="454" w:right="454"/>
        <w:jc w:val="both"/>
        <w:rPr>
          <w:rFonts w:ascii="Arial" w:hAnsi="Arial" w:cs="Arial"/>
          <w:b/>
          <w:bCs/>
          <w:lang w:val="en-GB"/>
        </w:rPr>
      </w:pPr>
    </w:p>
    <w:p w:rsidR="00E34520" w:rsidRDefault="00E34520" w:rsidP="00076628">
      <w:pPr>
        <w:autoSpaceDE w:val="0"/>
        <w:autoSpaceDN w:val="0"/>
        <w:spacing w:line="276" w:lineRule="auto"/>
        <w:ind w:left="454" w:right="454"/>
        <w:jc w:val="both"/>
        <w:rPr>
          <w:rFonts w:ascii="Arial" w:hAnsi="Arial" w:cs="Arial"/>
        </w:rPr>
      </w:pPr>
      <w:r>
        <w:rPr>
          <w:rFonts w:ascii="Arial" w:hAnsi="Arial" w:cs="Arial"/>
        </w:rPr>
        <w:t xml:space="preserve">McCarthy Limited (McCarthy) </w:t>
      </w:r>
      <w:r w:rsidR="009E1B69">
        <w:rPr>
          <w:rFonts w:ascii="Arial" w:hAnsi="Arial" w:cs="Arial"/>
        </w:rPr>
        <w:t xml:space="preserve">is to acquire </w:t>
      </w:r>
      <w:r>
        <w:rPr>
          <w:rFonts w:ascii="Arial" w:hAnsi="Arial" w:cs="Arial"/>
        </w:rPr>
        <w:t xml:space="preserve">Paarl Ford &amp; Mazda dealership and the Stellenbosch Ford dealership (target dealerships) from Cargen (Pty) Ltd (Cargen). The </w:t>
      </w:r>
      <w:r w:rsidR="009E1B69">
        <w:rPr>
          <w:rFonts w:ascii="Arial" w:hAnsi="Arial" w:cs="Arial"/>
        </w:rPr>
        <w:t xml:space="preserve">merger has been </w:t>
      </w:r>
      <w:r>
        <w:rPr>
          <w:rFonts w:ascii="Arial" w:hAnsi="Arial" w:cs="Arial"/>
        </w:rPr>
        <w:t xml:space="preserve">approved without conditions. </w:t>
      </w:r>
    </w:p>
    <w:p w:rsidR="00E34520" w:rsidRDefault="00E34520" w:rsidP="00076628">
      <w:pPr>
        <w:autoSpaceDE w:val="0"/>
        <w:autoSpaceDN w:val="0"/>
        <w:spacing w:line="276" w:lineRule="auto"/>
        <w:ind w:left="454" w:right="454"/>
        <w:jc w:val="both"/>
        <w:rPr>
          <w:rFonts w:ascii="Arial" w:hAnsi="Arial" w:cs="Arial"/>
        </w:rPr>
      </w:pPr>
    </w:p>
    <w:p w:rsidR="00E34520" w:rsidRDefault="00E34520" w:rsidP="00076628">
      <w:pPr>
        <w:spacing w:line="276" w:lineRule="auto"/>
        <w:ind w:left="454" w:right="454"/>
        <w:jc w:val="both"/>
        <w:rPr>
          <w:rFonts w:ascii="Arial" w:hAnsi="Arial" w:cs="Arial"/>
          <w:lang w:val="en-GB"/>
        </w:rPr>
      </w:pPr>
      <w:r>
        <w:rPr>
          <w:rFonts w:ascii="Arial" w:hAnsi="Arial" w:cs="Arial"/>
          <w:lang w:val="en-GB"/>
        </w:rPr>
        <w:t xml:space="preserve">McCarthy, a wholly owned subsidiary of Bidvest Limited, sells new and used passenger and commercial vehicles. It owns and operates dealerships and acts as intermediary in relation to the provision of finance and insurance services and provides after sale services such as repairs. Of relevance to the proposed transaction are McCarthy dealerships located in the Western Cape. </w:t>
      </w:r>
    </w:p>
    <w:p w:rsidR="00E34520" w:rsidRDefault="00E34520" w:rsidP="00076628">
      <w:pPr>
        <w:spacing w:line="276" w:lineRule="auto"/>
        <w:ind w:left="454" w:right="454"/>
        <w:jc w:val="both"/>
        <w:rPr>
          <w:rFonts w:ascii="Arial" w:hAnsi="Arial" w:cs="Arial"/>
        </w:rPr>
      </w:pPr>
    </w:p>
    <w:p w:rsidR="00E34520" w:rsidRDefault="00E34520" w:rsidP="00076628">
      <w:pPr>
        <w:spacing w:line="276" w:lineRule="auto"/>
        <w:ind w:left="454" w:right="454"/>
        <w:jc w:val="both"/>
        <w:rPr>
          <w:rFonts w:ascii="Arial" w:hAnsi="Arial" w:cs="Arial"/>
          <w:lang w:val="en-GB"/>
        </w:rPr>
      </w:pPr>
      <w:r>
        <w:rPr>
          <w:rFonts w:ascii="Arial" w:hAnsi="Arial" w:cs="Arial"/>
          <w:lang w:val="en-GB"/>
        </w:rPr>
        <w:t>The primary target firms are the target dealerships controlled by Cargen. These sell new and used Ford and Mazda vehicles, branded parts, accessories and tyres. They also repair vehicles in the Western Cape. The dealerships also act as intermediaries in the provision of finance and insurance services.</w:t>
      </w:r>
    </w:p>
    <w:p w:rsidR="00E34520" w:rsidRDefault="00E34520" w:rsidP="00076628">
      <w:pPr>
        <w:spacing w:line="276" w:lineRule="auto"/>
        <w:ind w:left="454" w:right="454"/>
        <w:jc w:val="both"/>
        <w:rPr>
          <w:rFonts w:ascii="Arial" w:hAnsi="Arial" w:cs="Arial"/>
          <w:lang w:val="en-GB"/>
        </w:rPr>
      </w:pPr>
    </w:p>
    <w:p w:rsidR="00E34520" w:rsidRDefault="00E34520" w:rsidP="00076628">
      <w:pPr>
        <w:ind w:left="454" w:right="454"/>
        <w:jc w:val="both"/>
        <w:rPr>
          <w:rFonts w:ascii="Arial" w:hAnsi="Arial" w:cs="Arial"/>
        </w:rPr>
      </w:pPr>
      <w:r>
        <w:rPr>
          <w:rFonts w:ascii="Arial" w:hAnsi="Arial" w:cs="Arial"/>
          <w:color w:val="000000"/>
        </w:rPr>
        <w:t xml:space="preserve">Issued by: </w:t>
      </w:r>
    </w:p>
    <w:p w:rsidR="00E34520" w:rsidRDefault="00E34520" w:rsidP="00076628">
      <w:pPr>
        <w:ind w:left="454" w:right="454"/>
        <w:jc w:val="both"/>
        <w:rPr>
          <w:rFonts w:ascii="Arial" w:hAnsi="Arial" w:cs="Arial"/>
          <w:color w:val="000000"/>
        </w:rPr>
      </w:pPr>
      <w:r>
        <w:rPr>
          <w:rFonts w:ascii="Arial" w:hAnsi="Arial" w:cs="Arial"/>
          <w:color w:val="000000"/>
        </w:rPr>
        <w:t xml:space="preserve">Chantelle Benjamin </w:t>
      </w:r>
    </w:p>
    <w:p w:rsidR="00E34520" w:rsidRDefault="00E34520" w:rsidP="00076628">
      <w:pPr>
        <w:ind w:left="454" w:right="454"/>
        <w:jc w:val="both"/>
        <w:rPr>
          <w:rFonts w:ascii="Arial" w:hAnsi="Arial" w:cs="Arial"/>
          <w:color w:val="000000"/>
        </w:rPr>
      </w:pPr>
      <w:r>
        <w:rPr>
          <w:rFonts w:ascii="Arial" w:hAnsi="Arial" w:cs="Arial"/>
          <w:color w:val="000000"/>
        </w:rPr>
        <w:t>Communications: Competition Tribunal   </w:t>
      </w:r>
    </w:p>
    <w:p w:rsidR="00E34520" w:rsidRDefault="00E34520" w:rsidP="00076628">
      <w:pPr>
        <w:ind w:left="454" w:right="454"/>
        <w:jc w:val="both"/>
        <w:rPr>
          <w:rFonts w:ascii="Arial" w:hAnsi="Arial" w:cs="Arial"/>
          <w:color w:val="000000"/>
        </w:rPr>
      </w:pPr>
      <w:r>
        <w:rPr>
          <w:rFonts w:ascii="Arial" w:hAnsi="Arial" w:cs="Arial"/>
          <w:color w:val="000000"/>
        </w:rPr>
        <w:t xml:space="preserve">Tel (012)394 1383                                      </w:t>
      </w:r>
    </w:p>
    <w:p w:rsidR="00E34520" w:rsidRDefault="00E34520" w:rsidP="00076628">
      <w:pPr>
        <w:ind w:left="454" w:right="454"/>
        <w:jc w:val="both"/>
        <w:rPr>
          <w:rFonts w:ascii="Arial" w:hAnsi="Arial" w:cs="Arial"/>
          <w:color w:val="000000"/>
        </w:rPr>
      </w:pPr>
      <w:r>
        <w:rPr>
          <w:rFonts w:ascii="Arial" w:hAnsi="Arial" w:cs="Arial"/>
          <w:color w:val="000000"/>
        </w:rPr>
        <w:t>Cell: +27 (0) 73 007 5603  </w:t>
      </w:r>
    </w:p>
    <w:p w:rsidR="00E34520" w:rsidRDefault="00E34520" w:rsidP="00076628">
      <w:pPr>
        <w:ind w:left="454" w:right="454"/>
        <w:jc w:val="both"/>
        <w:rPr>
          <w:rFonts w:ascii="Arial" w:hAnsi="Arial" w:cs="Arial"/>
        </w:rPr>
      </w:pPr>
      <w:r>
        <w:rPr>
          <w:rFonts w:ascii="Arial" w:hAnsi="Arial" w:cs="Arial"/>
          <w:color w:val="000000"/>
        </w:rPr>
        <w:t xml:space="preserve">Twitter: @comptrib                                        </w:t>
      </w:r>
    </w:p>
    <w:p w:rsidR="00E34520" w:rsidRDefault="00E34520" w:rsidP="00076628">
      <w:pPr>
        <w:ind w:left="454" w:right="454"/>
        <w:jc w:val="both"/>
        <w:rPr>
          <w:rFonts w:ascii="Arial" w:hAnsi="Arial" w:cs="Arial"/>
        </w:rPr>
      </w:pPr>
      <w:r>
        <w:rPr>
          <w:rFonts w:ascii="Arial" w:hAnsi="Arial" w:cs="Arial"/>
          <w:color w:val="000000"/>
        </w:rPr>
        <w:t xml:space="preserve">E-Mail: </w:t>
      </w:r>
      <w:hyperlink r:id="rId6" w:history="1">
        <w:r>
          <w:rPr>
            <w:rStyle w:val="Hyperlink"/>
            <w:rFonts w:ascii="Arial" w:hAnsi="Arial" w:cs="Arial"/>
          </w:rPr>
          <w:t>chantelleb@comptrib.co.za</w:t>
        </w:r>
      </w:hyperlink>
      <w:r>
        <w:rPr>
          <w:rFonts w:ascii="Arial" w:hAnsi="Arial" w:cs="Arial"/>
          <w:lang w:val="en-US"/>
        </w:rPr>
        <w:t xml:space="preserve"> </w:t>
      </w:r>
    </w:p>
    <w:p w:rsidR="00E34520" w:rsidRDefault="00E34520" w:rsidP="00076628">
      <w:pPr>
        <w:ind w:left="454" w:right="454"/>
        <w:jc w:val="both"/>
        <w:rPr>
          <w:rFonts w:ascii="Arial" w:hAnsi="Arial" w:cs="Arial"/>
          <w:color w:val="000000"/>
        </w:rPr>
      </w:pPr>
    </w:p>
    <w:p w:rsidR="00E34520" w:rsidRDefault="00E34520" w:rsidP="00076628">
      <w:pPr>
        <w:ind w:left="454" w:right="454"/>
        <w:jc w:val="both"/>
        <w:rPr>
          <w:rFonts w:ascii="Arial" w:hAnsi="Arial" w:cs="Arial"/>
          <w:color w:val="000000"/>
        </w:rPr>
      </w:pPr>
    </w:p>
    <w:p w:rsidR="00E34520" w:rsidRDefault="00E34520" w:rsidP="00076628">
      <w:pPr>
        <w:ind w:left="454" w:right="454"/>
        <w:jc w:val="both"/>
        <w:rPr>
          <w:rFonts w:ascii="Arial" w:hAnsi="Arial" w:cs="Arial"/>
        </w:rPr>
      </w:pPr>
      <w:r>
        <w:rPr>
          <w:rFonts w:ascii="Arial" w:hAnsi="Arial" w:cs="Arial"/>
          <w:color w:val="000000"/>
        </w:rPr>
        <w:t>On Behalf Of:</w:t>
      </w:r>
    </w:p>
    <w:p w:rsidR="00E34520" w:rsidRDefault="00E34520" w:rsidP="00076628">
      <w:pPr>
        <w:ind w:left="454" w:right="454"/>
        <w:jc w:val="both"/>
        <w:rPr>
          <w:rFonts w:ascii="Arial" w:hAnsi="Arial" w:cs="Arial"/>
        </w:rPr>
      </w:pPr>
      <w:r>
        <w:rPr>
          <w:rFonts w:ascii="Arial" w:hAnsi="Arial" w:cs="Arial"/>
          <w:color w:val="000000"/>
        </w:rPr>
        <w:t>Lerato Motaung                                                   </w:t>
      </w:r>
    </w:p>
    <w:p w:rsidR="00E34520" w:rsidRDefault="00E34520" w:rsidP="00076628">
      <w:pPr>
        <w:ind w:left="454" w:right="454"/>
        <w:jc w:val="both"/>
        <w:rPr>
          <w:rFonts w:ascii="Arial" w:hAnsi="Arial" w:cs="Arial"/>
        </w:rPr>
      </w:pPr>
      <w:r>
        <w:rPr>
          <w:rFonts w:ascii="Arial" w:hAnsi="Arial" w:cs="Arial"/>
          <w:color w:val="000000"/>
        </w:rPr>
        <w:t xml:space="preserve">Registrar: Competition Tribunal                                         </w:t>
      </w:r>
    </w:p>
    <w:p w:rsidR="00E34520" w:rsidRDefault="00E34520" w:rsidP="00076628">
      <w:pPr>
        <w:ind w:left="454" w:right="454"/>
        <w:jc w:val="both"/>
        <w:rPr>
          <w:rFonts w:ascii="Arial" w:hAnsi="Arial" w:cs="Arial"/>
        </w:rPr>
      </w:pPr>
      <w:r>
        <w:rPr>
          <w:rFonts w:ascii="Arial" w:hAnsi="Arial" w:cs="Arial"/>
          <w:color w:val="000000"/>
        </w:rPr>
        <w:t xml:space="preserve">Tel: (012) 394 3355                                              </w:t>
      </w:r>
    </w:p>
    <w:p w:rsidR="00E34520" w:rsidRDefault="00E34520" w:rsidP="00076628">
      <w:pPr>
        <w:ind w:left="454" w:right="454"/>
        <w:jc w:val="both"/>
        <w:rPr>
          <w:rFonts w:ascii="Arial" w:hAnsi="Arial" w:cs="Arial"/>
        </w:rPr>
      </w:pPr>
      <w:r>
        <w:rPr>
          <w:rFonts w:ascii="Arial" w:hAnsi="Arial" w:cs="Arial"/>
          <w:color w:val="000000"/>
        </w:rPr>
        <w:t xml:space="preserve">Cell: +27 (0) 82 556 3221                                               </w:t>
      </w:r>
    </w:p>
    <w:p w:rsidR="00E34520" w:rsidRDefault="00E34520" w:rsidP="00076628">
      <w:pPr>
        <w:ind w:left="454" w:right="454"/>
        <w:jc w:val="both"/>
        <w:rPr>
          <w:rFonts w:ascii="Arial" w:hAnsi="Arial" w:cs="Arial"/>
        </w:rPr>
      </w:pPr>
      <w:r>
        <w:rPr>
          <w:rFonts w:ascii="Arial" w:hAnsi="Arial" w:cs="Arial"/>
          <w:color w:val="000000"/>
        </w:rPr>
        <w:t xml:space="preserve">E-Mail: </w:t>
      </w:r>
      <w:hyperlink r:id="rId7" w:history="1">
        <w:r>
          <w:rPr>
            <w:rStyle w:val="Hyperlink"/>
            <w:rFonts w:ascii="Arial" w:hAnsi="Arial" w:cs="Arial"/>
          </w:rPr>
          <w:t>LeratoM@comptrib.co.za</w:t>
        </w:r>
      </w:hyperlink>
    </w:p>
    <w:p w:rsidR="00E34520" w:rsidRDefault="00E34520" w:rsidP="00E34520"/>
    <w:p w:rsidR="00C35EB2" w:rsidRDefault="006A4E8F"/>
    <w:sectPr w:rsidR="00C35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20"/>
    <w:rsid w:val="00076628"/>
    <w:rsid w:val="001348A7"/>
    <w:rsid w:val="00283E83"/>
    <w:rsid w:val="003C165A"/>
    <w:rsid w:val="00482491"/>
    <w:rsid w:val="008D5D96"/>
    <w:rsid w:val="009E1B69"/>
    <w:rsid w:val="00CA747B"/>
    <w:rsid w:val="00D22620"/>
    <w:rsid w:val="00E34520"/>
    <w:rsid w:val="00F830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46A51-8097-4274-BCB7-07D656AE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520"/>
    <w:pPr>
      <w:spacing w:after="0" w:line="240" w:lineRule="auto"/>
    </w:pPr>
    <w:rPr>
      <w:rFonts w:ascii="Calibri" w:hAnsi="Calibri" w:cs="Times New Roman"/>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45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59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eratoM@comptrib.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cid:image003.jpg@01D35E31.5517ADE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5</cp:revision>
  <dcterms:created xsi:type="dcterms:W3CDTF">2017-11-16T14:02:00Z</dcterms:created>
  <dcterms:modified xsi:type="dcterms:W3CDTF">2017-11-17T10:29:00Z</dcterms:modified>
</cp:coreProperties>
</file>