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EE" w:rsidRDefault="008B0EEE" w:rsidP="008B0EEE">
      <w:pPr>
        <w:jc w:val="both"/>
        <w:rPr>
          <w:b/>
          <w:bCs/>
        </w:rPr>
      </w:pPr>
    </w:p>
    <w:p w:rsidR="008B0EEE" w:rsidRDefault="008B0EEE" w:rsidP="008B0EEE">
      <w:pPr>
        <w:jc w:val="center"/>
        <w:rPr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4DA85F6" wp14:editId="0E51FF25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EEE" w:rsidRDefault="008B0EEE" w:rsidP="008B0EEE">
      <w:pPr>
        <w:jc w:val="both"/>
        <w:rPr>
          <w:b/>
          <w:bCs/>
        </w:rPr>
      </w:pPr>
    </w:p>
    <w:p w:rsidR="008B0EEE" w:rsidRDefault="008B0EEE" w:rsidP="008B0EEE">
      <w:pPr>
        <w:jc w:val="right"/>
        <w:rPr>
          <w:b/>
          <w:bCs/>
        </w:rPr>
      </w:pPr>
      <w:r>
        <w:rPr>
          <w:b/>
          <w:bCs/>
        </w:rPr>
        <w:t xml:space="preserve">            Tuesday, 10 May 2016</w:t>
      </w:r>
    </w:p>
    <w:p w:rsidR="008B0EEE" w:rsidRDefault="008B0EEE" w:rsidP="008B0EEE">
      <w:pPr>
        <w:jc w:val="both"/>
        <w:rPr>
          <w:b/>
          <w:bCs/>
        </w:rPr>
      </w:pPr>
    </w:p>
    <w:p w:rsidR="008B0EEE" w:rsidRDefault="008B0EEE" w:rsidP="008B0EEE">
      <w:pPr>
        <w:jc w:val="both"/>
        <w:rPr>
          <w:b/>
          <w:bCs/>
        </w:rPr>
      </w:pPr>
    </w:p>
    <w:p w:rsidR="008B0EEE" w:rsidRDefault="008B0EEE" w:rsidP="008B0EEE">
      <w:pPr>
        <w:jc w:val="both"/>
        <w:rPr>
          <w:b/>
          <w:bCs/>
        </w:rPr>
      </w:pPr>
      <w:r>
        <w:rPr>
          <w:b/>
          <w:bCs/>
        </w:rPr>
        <w:t>Coca-Cola Beverages merger with bottling companies approved with conditions</w:t>
      </w:r>
    </w:p>
    <w:p w:rsidR="008B0EEE" w:rsidRDefault="008B0EEE" w:rsidP="008B0EEE">
      <w:pPr>
        <w:jc w:val="both"/>
        <w:rPr>
          <w:lang w:val="en-ZA"/>
        </w:rPr>
      </w:pPr>
    </w:p>
    <w:p w:rsidR="008B0EEE" w:rsidRPr="008B0EEE" w:rsidRDefault="008B0EEE" w:rsidP="008B0EEE">
      <w:pPr>
        <w:jc w:val="both"/>
        <w:rPr>
          <w:lang w:val="en-ZA"/>
        </w:rPr>
      </w:pPr>
      <w:r w:rsidRPr="008B0EEE">
        <w:rPr>
          <w:lang w:val="en-ZA"/>
        </w:rPr>
        <w:t>In March 2015 the merging parties filed a large merger transaction with the Competition Commission. The proposed transaction involved the amalgamation of the bottling interests of SABMiller Plc, Gutsche Family Investments and the Coca-Cola Company into one entity to be known as Coca-Cola Beverages Africa. In addition, SABMiller’s interests in Appletiser and Lecol will be transferred to The Coca-Cola Company.</w:t>
      </w:r>
    </w:p>
    <w:p w:rsidR="008B0EEE" w:rsidRPr="008B0EEE" w:rsidRDefault="008B0EEE" w:rsidP="008B0EEE">
      <w:pPr>
        <w:jc w:val="both"/>
        <w:rPr>
          <w:lang w:val="en-ZA"/>
        </w:rPr>
      </w:pPr>
      <w:r w:rsidRPr="008B0EEE">
        <w:rPr>
          <w:lang w:val="en-ZA"/>
        </w:rPr>
        <w:t> </w:t>
      </w:r>
    </w:p>
    <w:p w:rsidR="008B0EEE" w:rsidRPr="008B0EEE" w:rsidRDefault="008B0EEE" w:rsidP="008B0EEE">
      <w:pPr>
        <w:jc w:val="both"/>
        <w:rPr>
          <w:lang w:val="en-ZA"/>
        </w:rPr>
      </w:pPr>
      <w:r w:rsidRPr="008B0EEE">
        <w:rPr>
          <w:lang w:val="en-ZA"/>
        </w:rPr>
        <w:t>The Commission in investigating the merger contacted several third parties including the Minister of Economic Development (“Minister”) regarding a range of public interest and competition concerns. The Commission recommended that the merger be approved subject to conditions which would address their competition and public interest concerns.</w:t>
      </w:r>
    </w:p>
    <w:p w:rsidR="008B0EEE" w:rsidRPr="008B0EEE" w:rsidRDefault="008B0EEE" w:rsidP="008B0EEE">
      <w:pPr>
        <w:jc w:val="both"/>
        <w:rPr>
          <w:lang w:val="en-ZA"/>
        </w:rPr>
      </w:pPr>
      <w:r w:rsidRPr="008B0EEE">
        <w:rPr>
          <w:lang w:val="en-ZA"/>
        </w:rPr>
        <w:t> </w:t>
      </w:r>
    </w:p>
    <w:p w:rsidR="008B0EEE" w:rsidRDefault="008B0EEE" w:rsidP="008B0EEE">
      <w:pPr>
        <w:jc w:val="both"/>
        <w:rPr>
          <w:lang w:val="en-ZA"/>
        </w:rPr>
      </w:pPr>
      <w:r w:rsidRPr="008B0EEE">
        <w:rPr>
          <w:lang w:val="en-ZA"/>
        </w:rPr>
        <w:t>The merger was filed with the Competition Tribunal and was set to be heard during the course of May 2015. T</w:t>
      </w:r>
      <w:r>
        <w:rPr>
          <w:lang w:val="en-ZA"/>
        </w:rPr>
        <w:t>he Minister, Food Allied Worker</w:t>
      </w:r>
      <w:r w:rsidRPr="008B0EEE">
        <w:rPr>
          <w:lang w:val="en-ZA"/>
        </w:rPr>
        <w:t>s Union (“FAWU”) and National Union of Food Beverage Wine Spirits and Allied Workers (“NUFBWSAW”), amongst others proffered their intention to participate in the hearing to ventilate their concerns.</w:t>
      </w:r>
    </w:p>
    <w:p w:rsidR="008B0EEE" w:rsidRPr="008B0EEE" w:rsidRDefault="008B0EEE" w:rsidP="008B0EEE">
      <w:pPr>
        <w:jc w:val="both"/>
        <w:rPr>
          <w:lang w:val="en-ZA"/>
        </w:rPr>
      </w:pPr>
    </w:p>
    <w:p w:rsidR="008B0EEE" w:rsidRPr="008B0EEE" w:rsidRDefault="008B0EEE" w:rsidP="008B0EEE">
      <w:pPr>
        <w:jc w:val="both"/>
        <w:rPr>
          <w:lang w:val="en-ZA"/>
        </w:rPr>
      </w:pPr>
      <w:r w:rsidRPr="008B0EEE">
        <w:rPr>
          <w:lang w:val="en-ZA"/>
        </w:rPr>
        <w:t>Prior to the commencement of the first day of hearing negotiations between the merging parties, the Minister of Economic Development, FAWU, NUFBWSAW and the Commission culminated in agreement. On the 9 May a final set of conditions</w:t>
      </w:r>
      <w:r>
        <w:rPr>
          <w:lang w:val="en-ZA"/>
        </w:rPr>
        <w:t xml:space="preserve"> that </w:t>
      </w:r>
      <w:r w:rsidRPr="008B0EEE">
        <w:rPr>
          <w:lang w:val="en-ZA"/>
        </w:rPr>
        <w:t xml:space="preserve">the parties agreed to was provided to the Tribunal. </w:t>
      </w:r>
    </w:p>
    <w:p w:rsidR="008B0EEE" w:rsidRPr="008B0EEE" w:rsidRDefault="008B0EEE" w:rsidP="008B0EEE">
      <w:pPr>
        <w:jc w:val="both"/>
        <w:rPr>
          <w:lang w:val="en-ZA"/>
        </w:rPr>
      </w:pPr>
      <w:r w:rsidRPr="008B0EEE">
        <w:t> </w:t>
      </w:r>
    </w:p>
    <w:p w:rsidR="008B0EEE" w:rsidRDefault="008B0EEE" w:rsidP="008B0EEE">
      <w:pPr>
        <w:jc w:val="both"/>
      </w:pPr>
      <w:r w:rsidRPr="008B0EEE">
        <w:t> The Tribunal was told that the conditions dealt with and settled all the parties’ disputes and no party contested the approval of the merger subject to the agreed conditions.</w:t>
      </w:r>
    </w:p>
    <w:p w:rsidR="008B0EEE" w:rsidRPr="008B0EEE" w:rsidRDefault="008B0EEE" w:rsidP="008B0EEE">
      <w:pPr>
        <w:jc w:val="both"/>
        <w:rPr>
          <w:lang w:val="en-ZA"/>
        </w:rPr>
      </w:pPr>
    </w:p>
    <w:p w:rsidR="008B0EEE" w:rsidRDefault="008B0EEE" w:rsidP="008B0EEE">
      <w:pPr>
        <w:jc w:val="both"/>
        <w:rPr>
          <w:lang w:val="en-ZA"/>
        </w:rPr>
      </w:pPr>
      <w:r w:rsidRPr="008B0EEE">
        <w:rPr>
          <w:lang w:val="en-ZA"/>
        </w:rPr>
        <w:t xml:space="preserve">The Tribunal approves the merger subject to these conditions.  The Tribunal will be providing reasons for its approval in due course. </w:t>
      </w:r>
    </w:p>
    <w:p w:rsidR="008B0EEE" w:rsidRDefault="008B0EEE" w:rsidP="008B0EEE">
      <w:pPr>
        <w:jc w:val="both"/>
        <w:rPr>
          <w:lang w:val="en-ZA"/>
        </w:rPr>
      </w:pPr>
    </w:p>
    <w:p w:rsidR="008B0EEE" w:rsidRPr="008B0EEE" w:rsidRDefault="008B0EEE" w:rsidP="008B0EEE">
      <w:pPr>
        <w:jc w:val="both"/>
        <w:rPr>
          <w:lang w:val="en-ZA"/>
        </w:rPr>
      </w:pPr>
    </w:p>
    <w:p w:rsidR="008B0EEE" w:rsidRPr="008B0EEE" w:rsidRDefault="008B0EEE" w:rsidP="008B0EEE">
      <w:pPr>
        <w:jc w:val="both"/>
        <w:rPr>
          <w:rFonts w:ascii="Arial" w:hAnsi="Arial" w:cs="Arial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Issued by: </w:t>
      </w:r>
    </w:p>
    <w:p w:rsidR="008B0EEE" w:rsidRPr="008B0EEE" w:rsidRDefault="008B0EEE" w:rsidP="008B0EEE">
      <w:pPr>
        <w:jc w:val="both"/>
        <w:rPr>
          <w:rFonts w:ascii="Arial" w:hAnsi="Arial" w:cs="Arial"/>
          <w:color w:val="000000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Chantelle Benjamin </w:t>
      </w:r>
    </w:p>
    <w:p w:rsidR="008B0EEE" w:rsidRPr="008B0EEE" w:rsidRDefault="008B0EEE" w:rsidP="008B0EEE">
      <w:pPr>
        <w:jc w:val="both"/>
        <w:rPr>
          <w:rFonts w:ascii="Arial" w:hAnsi="Arial" w:cs="Arial"/>
          <w:color w:val="000000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>Communications: Competition Tribunal   </w:t>
      </w:r>
    </w:p>
    <w:p w:rsidR="008B0EEE" w:rsidRPr="008B0EEE" w:rsidRDefault="008B0EEE" w:rsidP="008B0EEE">
      <w:pPr>
        <w:jc w:val="both"/>
        <w:rPr>
          <w:rFonts w:ascii="Arial" w:hAnsi="Arial" w:cs="Arial"/>
          <w:color w:val="000000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Tel (012)394 1383                                      </w:t>
      </w:r>
    </w:p>
    <w:p w:rsidR="008B0EEE" w:rsidRPr="008B0EEE" w:rsidRDefault="008B0EEE" w:rsidP="008B0EEE">
      <w:pPr>
        <w:jc w:val="both"/>
        <w:rPr>
          <w:rFonts w:ascii="Arial" w:hAnsi="Arial" w:cs="Arial"/>
          <w:color w:val="000000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>Cell: +27 (0) 73 007 5603  </w:t>
      </w:r>
    </w:p>
    <w:p w:rsidR="008B0EEE" w:rsidRPr="008B0EEE" w:rsidRDefault="008B0EEE" w:rsidP="008B0EEE">
      <w:pPr>
        <w:jc w:val="both"/>
        <w:rPr>
          <w:rFonts w:ascii="Arial" w:hAnsi="Arial" w:cs="Arial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Twitter: @comptrib                                        </w:t>
      </w:r>
    </w:p>
    <w:p w:rsidR="008B0EEE" w:rsidRPr="008B0EEE" w:rsidRDefault="008B0EEE" w:rsidP="008B0EEE">
      <w:pPr>
        <w:jc w:val="both"/>
        <w:rPr>
          <w:rFonts w:ascii="Arial" w:hAnsi="Arial" w:cs="Arial"/>
          <w:lang w:val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E-Mail: </w:t>
      </w:r>
      <w:hyperlink r:id="rId5" w:history="1">
        <w:r w:rsidRPr="008B0EEE">
          <w:rPr>
            <w:rFonts w:ascii="Arial" w:hAnsi="Arial" w:cs="Arial"/>
            <w:color w:val="0000FF"/>
            <w:u w:val="single"/>
            <w:lang w:val="en-ZA" w:eastAsia="en-ZA"/>
          </w:rPr>
          <w:t>chantelleb@comptrib.co.za</w:t>
        </w:r>
      </w:hyperlink>
      <w:r w:rsidRPr="008B0EEE">
        <w:rPr>
          <w:rFonts w:ascii="Arial" w:hAnsi="Arial" w:cs="Arial"/>
          <w:lang w:val="en-ZA"/>
        </w:rPr>
        <w:t xml:space="preserve"> </w:t>
      </w:r>
    </w:p>
    <w:p w:rsidR="008B0EEE" w:rsidRPr="008B0EEE" w:rsidRDefault="008B0EEE" w:rsidP="008B0EEE">
      <w:pPr>
        <w:jc w:val="both"/>
        <w:rPr>
          <w:rFonts w:ascii="Arial" w:hAnsi="Arial" w:cs="Arial"/>
          <w:color w:val="000000"/>
          <w:lang w:val="en-ZA"/>
        </w:rPr>
      </w:pPr>
    </w:p>
    <w:p w:rsidR="008B0EEE" w:rsidRPr="008B0EEE" w:rsidRDefault="008B0EEE" w:rsidP="008B0EEE">
      <w:pPr>
        <w:jc w:val="both"/>
        <w:rPr>
          <w:rFonts w:ascii="Arial" w:hAnsi="Arial" w:cs="Arial"/>
          <w:color w:val="000000"/>
          <w:lang w:val="en-ZA"/>
        </w:rPr>
      </w:pPr>
    </w:p>
    <w:p w:rsidR="008B0EEE" w:rsidRPr="008B0EEE" w:rsidRDefault="008B0EEE" w:rsidP="008B0EEE">
      <w:pPr>
        <w:jc w:val="both"/>
        <w:rPr>
          <w:rFonts w:ascii="Arial" w:hAnsi="Arial" w:cs="Arial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>On Behalf Of:</w:t>
      </w:r>
    </w:p>
    <w:p w:rsidR="008B0EEE" w:rsidRPr="008B0EEE" w:rsidRDefault="008B0EEE" w:rsidP="008B0EEE">
      <w:pPr>
        <w:jc w:val="both"/>
        <w:rPr>
          <w:rFonts w:ascii="Arial" w:hAnsi="Arial" w:cs="Arial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>Lerato Motaung                                                   </w:t>
      </w:r>
    </w:p>
    <w:p w:rsidR="008B0EEE" w:rsidRPr="008B0EEE" w:rsidRDefault="008B0EEE" w:rsidP="008B0EEE">
      <w:pPr>
        <w:jc w:val="both"/>
        <w:rPr>
          <w:rFonts w:ascii="Arial" w:hAnsi="Arial" w:cs="Arial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Registrar: Competition Tribunal                                         </w:t>
      </w:r>
    </w:p>
    <w:p w:rsidR="008B0EEE" w:rsidRPr="008B0EEE" w:rsidRDefault="008B0EEE" w:rsidP="008B0EEE">
      <w:pPr>
        <w:jc w:val="both"/>
        <w:rPr>
          <w:rFonts w:ascii="Arial" w:hAnsi="Arial" w:cs="Arial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Tel: (012) 394 3355                                              </w:t>
      </w:r>
    </w:p>
    <w:p w:rsidR="008B0EEE" w:rsidRPr="008B0EEE" w:rsidRDefault="008B0EEE" w:rsidP="008B0EEE">
      <w:pPr>
        <w:jc w:val="both"/>
        <w:rPr>
          <w:rFonts w:ascii="Arial" w:hAnsi="Arial" w:cs="Arial"/>
          <w:lang w:val="en-ZA" w:eastAsia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Cell: +27 (0) 82 556 3221                                               </w:t>
      </w:r>
    </w:p>
    <w:p w:rsidR="008B0EEE" w:rsidRPr="008B0EEE" w:rsidRDefault="008B0EEE" w:rsidP="008B0EEE">
      <w:pPr>
        <w:jc w:val="both"/>
        <w:rPr>
          <w:rFonts w:ascii="Arial" w:hAnsi="Arial" w:cs="Arial"/>
          <w:lang w:val="en-ZA"/>
        </w:rPr>
      </w:pPr>
      <w:r w:rsidRPr="008B0EEE">
        <w:rPr>
          <w:rFonts w:ascii="Arial" w:hAnsi="Arial" w:cs="Arial"/>
          <w:color w:val="000000"/>
          <w:lang w:val="en-ZA" w:eastAsia="en-ZA"/>
        </w:rPr>
        <w:t xml:space="preserve">E-Mail: </w:t>
      </w:r>
      <w:hyperlink r:id="rId6" w:history="1">
        <w:r w:rsidRPr="008B0EEE">
          <w:rPr>
            <w:rFonts w:ascii="Arial" w:hAnsi="Arial" w:cs="Arial"/>
            <w:color w:val="0000FF"/>
            <w:u w:val="single"/>
            <w:lang w:val="en-ZA" w:eastAsia="en-ZA"/>
          </w:rPr>
          <w:t>LeratoM@comptrib.co.za</w:t>
        </w:r>
      </w:hyperlink>
    </w:p>
    <w:p w:rsidR="001260C5" w:rsidRDefault="00262E0F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EE"/>
    <w:rsid w:val="00212E59"/>
    <w:rsid w:val="008B0EEE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A56F67-6B1C-4513-864E-0D49512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E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1</cp:revision>
  <dcterms:created xsi:type="dcterms:W3CDTF">2016-05-10T14:12:00Z</dcterms:created>
  <dcterms:modified xsi:type="dcterms:W3CDTF">2016-05-10T14:19:00Z</dcterms:modified>
</cp:coreProperties>
</file>