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08F" w:rsidRDefault="00A3708F" w:rsidP="00A3708F">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6B02A5C5" wp14:editId="5F9E796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3708F" w:rsidRDefault="00A3708F" w:rsidP="00A3708F">
      <w:pPr>
        <w:spacing w:after="0" w:line="240" w:lineRule="auto"/>
        <w:jc w:val="center"/>
        <w:rPr>
          <w:rFonts w:ascii="Arial" w:hAnsi="Arial" w:cs="Arial"/>
          <w:b/>
        </w:rPr>
      </w:pPr>
    </w:p>
    <w:p w:rsidR="00A3708F" w:rsidRDefault="00A3708F" w:rsidP="00A3708F">
      <w:pPr>
        <w:spacing w:after="0" w:line="240" w:lineRule="auto"/>
        <w:jc w:val="center"/>
        <w:rPr>
          <w:rFonts w:ascii="Arial" w:hAnsi="Arial" w:cs="Arial"/>
          <w:b/>
        </w:rPr>
      </w:pPr>
    </w:p>
    <w:p w:rsidR="00A3708F" w:rsidRPr="00E41BF5" w:rsidRDefault="00A3708F" w:rsidP="00A3708F">
      <w:pPr>
        <w:spacing w:after="0" w:line="240" w:lineRule="auto"/>
        <w:jc w:val="center"/>
        <w:rPr>
          <w:rFonts w:ascii="Arial" w:hAnsi="Arial" w:cs="Arial"/>
          <w:b/>
        </w:rPr>
      </w:pPr>
    </w:p>
    <w:p w:rsidR="00A3708F" w:rsidRPr="00E02933" w:rsidRDefault="00A3708F" w:rsidP="00A3708F">
      <w:pPr>
        <w:spacing w:after="0" w:line="240" w:lineRule="auto"/>
        <w:jc w:val="center"/>
        <w:rPr>
          <w:rFonts w:ascii="Arial" w:hAnsi="Arial" w:cs="Arial"/>
          <w:b/>
        </w:rPr>
      </w:pPr>
      <w:r w:rsidRPr="00E02933">
        <w:rPr>
          <w:rFonts w:ascii="Arial" w:hAnsi="Arial" w:cs="Arial"/>
          <w:b/>
        </w:rPr>
        <w:t>CASE</w:t>
      </w:r>
      <w:r>
        <w:rPr>
          <w:rFonts w:ascii="Arial" w:hAnsi="Arial" w:cs="Arial"/>
          <w:b/>
        </w:rPr>
        <w:t xml:space="preserve">S HEARD BY THE </w:t>
      </w:r>
      <w:r w:rsidRPr="00E02933">
        <w:rPr>
          <w:rFonts w:ascii="Arial" w:hAnsi="Arial" w:cs="Arial"/>
          <w:b/>
        </w:rPr>
        <w:t xml:space="preserve">TRIBUNAL </w:t>
      </w:r>
      <w:r>
        <w:rPr>
          <w:rFonts w:ascii="Arial" w:hAnsi="Arial" w:cs="Arial"/>
          <w:b/>
        </w:rPr>
        <w:t>ON WEDNESDAY, 14 SEPTEMBER 2016</w:t>
      </w:r>
    </w:p>
    <w:p w:rsidR="00A3708F" w:rsidRPr="00E02933" w:rsidRDefault="00A3708F" w:rsidP="00A3708F">
      <w:pPr>
        <w:spacing w:after="0" w:line="240" w:lineRule="auto"/>
        <w:jc w:val="both"/>
        <w:rPr>
          <w:rFonts w:ascii="Arial" w:hAnsi="Arial" w:cs="Arial"/>
          <w:b/>
        </w:rPr>
      </w:pPr>
    </w:p>
    <w:p w:rsidR="00A3708F" w:rsidRPr="00E02933" w:rsidRDefault="00A3708F" w:rsidP="00A3708F">
      <w:pPr>
        <w:spacing w:after="0" w:line="240" w:lineRule="auto"/>
        <w:jc w:val="both"/>
        <w:rPr>
          <w:rFonts w:ascii="Arial" w:hAnsi="Arial" w:cs="Arial"/>
          <w:b/>
        </w:rPr>
      </w:pPr>
    </w:p>
    <w:p w:rsidR="00A3708F" w:rsidRPr="00E02933" w:rsidRDefault="00A3708F" w:rsidP="00A3708F">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3708F" w:rsidRPr="00E02933" w:rsidTr="00957346">
        <w:trPr>
          <w:trHeight w:val="972"/>
        </w:trPr>
        <w:tc>
          <w:tcPr>
            <w:tcW w:w="3153" w:type="dxa"/>
            <w:shd w:val="clear" w:color="auto" w:fill="996633"/>
          </w:tcPr>
          <w:p w:rsidR="00A3708F" w:rsidRPr="00E02933" w:rsidRDefault="00A3708F" w:rsidP="00957346">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A3708F" w:rsidRPr="00E02933" w:rsidRDefault="00A3708F" w:rsidP="00957346">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A3708F" w:rsidRPr="00E02933" w:rsidRDefault="00A3708F" w:rsidP="00957346">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A3708F" w:rsidRPr="005E485B" w:rsidTr="00957346">
        <w:trPr>
          <w:trHeight w:val="493"/>
        </w:trPr>
        <w:tc>
          <w:tcPr>
            <w:tcW w:w="3153" w:type="dxa"/>
          </w:tcPr>
          <w:p w:rsidR="00A3708F" w:rsidRPr="005E485B" w:rsidRDefault="00A3708F" w:rsidP="00957346">
            <w:pPr>
              <w:jc w:val="both"/>
              <w:rPr>
                <w:rFonts w:ascii="Arial" w:hAnsi="Arial" w:cs="Arial"/>
              </w:rPr>
            </w:pPr>
            <w:r w:rsidRPr="005E485B">
              <w:rPr>
                <w:rFonts w:ascii="Arial" w:hAnsi="Arial" w:cs="Arial"/>
              </w:rPr>
              <w:t>Large merger</w:t>
            </w:r>
          </w:p>
        </w:tc>
        <w:tc>
          <w:tcPr>
            <w:tcW w:w="3198" w:type="dxa"/>
          </w:tcPr>
          <w:p w:rsidR="00A3708F" w:rsidRPr="0097505D" w:rsidRDefault="00A3708F" w:rsidP="00957346">
            <w:pPr>
              <w:jc w:val="both"/>
              <w:rPr>
                <w:rFonts w:ascii="Arial" w:hAnsi="Arial" w:cs="Arial"/>
              </w:rPr>
            </w:pPr>
            <w:r w:rsidRPr="0097505D">
              <w:rPr>
                <w:rFonts w:ascii="Arial" w:hAnsi="Arial" w:cs="Arial"/>
              </w:rPr>
              <w:t>Afric Oil (Pty) Ltd And Part of the Business of Big Red Investments (Pty) Ltd, Some of the Assets, Licenses and Consents Belonging to Turquoise Moon (Pty) Ltd, Some of the Assets Belonging to Redlex (Pty) Ltd</w:t>
            </w:r>
          </w:p>
        </w:tc>
        <w:tc>
          <w:tcPr>
            <w:tcW w:w="2873" w:type="dxa"/>
          </w:tcPr>
          <w:p w:rsidR="00A3708F" w:rsidRPr="005E485B" w:rsidRDefault="00A3708F" w:rsidP="00957346">
            <w:pPr>
              <w:jc w:val="both"/>
              <w:rPr>
                <w:rFonts w:ascii="Arial" w:hAnsi="Arial" w:cs="Arial"/>
              </w:rPr>
            </w:pPr>
            <w:r w:rsidRPr="005E485B">
              <w:rPr>
                <w:rFonts w:ascii="Arial" w:hAnsi="Arial" w:cs="Arial"/>
              </w:rPr>
              <w:t>Approval without conditions</w:t>
            </w:r>
          </w:p>
        </w:tc>
      </w:tr>
      <w:tr w:rsidR="00A3708F" w:rsidRPr="005E485B" w:rsidTr="00957346">
        <w:trPr>
          <w:trHeight w:val="70"/>
        </w:trPr>
        <w:tc>
          <w:tcPr>
            <w:tcW w:w="3153" w:type="dxa"/>
          </w:tcPr>
          <w:p w:rsidR="00A3708F" w:rsidRPr="005E485B" w:rsidRDefault="00A3708F" w:rsidP="00957346">
            <w:pPr>
              <w:jc w:val="both"/>
              <w:rPr>
                <w:rFonts w:ascii="Arial" w:hAnsi="Arial" w:cs="Arial"/>
              </w:rPr>
            </w:pPr>
            <w:r w:rsidRPr="005E485B">
              <w:rPr>
                <w:rFonts w:ascii="Arial" w:hAnsi="Arial" w:cs="Arial"/>
              </w:rPr>
              <w:t>Large merger</w:t>
            </w:r>
          </w:p>
          <w:p w:rsidR="00A3708F" w:rsidRPr="005E485B" w:rsidRDefault="00A3708F" w:rsidP="00957346">
            <w:pPr>
              <w:jc w:val="both"/>
              <w:rPr>
                <w:rFonts w:ascii="Arial" w:hAnsi="Arial" w:cs="Arial"/>
              </w:rPr>
            </w:pPr>
          </w:p>
        </w:tc>
        <w:tc>
          <w:tcPr>
            <w:tcW w:w="3198" w:type="dxa"/>
          </w:tcPr>
          <w:p w:rsidR="00A3708F" w:rsidRPr="0097505D" w:rsidRDefault="00A3708F" w:rsidP="00957346">
            <w:pPr>
              <w:jc w:val="both"/>
              <w:rPr>
                <w:rFonts w:ascii="Arial" w:hAnsi="Arial" w:cs="Arial"/>
              </w:rPr>
            </w:pPr>
            <w:r w:rsidRPr="0097505D">
              <w:rPr>
                <w:rFonts w:ascii="Arial" w:hAnsi="Arial" w:cs="Arial"/>
              </w:rPr>
              <w:t>Business Venture Investments No 1953 (Pty) Ltd to be renamed Industrial Services Holdco (Pty) Ltd And Uni-Span Holdings (Pty) Ltd, Concord Cranes (Pty) Ltd, Uvundlu Investments (Pty) Ltd and Prowalco (Pty) Limited</w:t>
            </w:r>
          </w:p>
        </w:tc>
        <w:tc>
          <w:tcPr>
            <w:tcW w:w="2873" w:type="dxa"/>
          </w:tcPr>
          <w:p w:rsidR="00A3708F" w:rsidRPr="005E485B" w:rsidRDefault="00A3708F" w:rsidP="00957346">
            <w:pPr>
              <w:rPr>
                <w:rFonts w:ascii="Arial" w:hAnsi="Arial" w:cs="Arial"/>
              </w:rPr>
            </w:pPr>
            <w:r w:rsidRPr="005E485B">
              <w:rPr>
                <w:rFonts w:ascii="Arial" w:hAnsi="Arial" w:cs="Arial"/>
              </w:rPr>
              <w:t>Approval without</w:t>
            </w:r>
            <w:r>
              <w:rPr>
                <w:rFonts w:ascii="Arial" w:hAnsi="Arial" w:cs="Arial"/>
              </w:rPr>
              <w:t xml:space="preserve"> c</w:t>
            </w:r>
            <w:r w:rsidRPr="005E485B">
              <w:rPr>
                <w:rFonts w:ascii="Arial" w:hAnsi="Arial" w:cs="Arial"/>
              </w:rPr>
              <w:t>onditions</w:t>
            </w:r>
          </w:p>
        </w:tc>
      </w:tr>
    </w:tbl>
    <w:p w:rsidR="00A3708F" w:rsidRPr="00290D7C" w:rsidRDefault="00A3708F" w:rsidP="00A3708F">
      <w:pPr>
        <w:spacing w:after="0" w:line="240" w:lineRule="auto"/>
        <w:jc w:val="both"/>
        <w:rPr>
          <w:rFonts w:ascii="Arial" w:eastAsia="Calibri" w:hAnsi="Arial" w:cs="Arial"/>
          <w:b/>
        </w:rPr>
      </w:pPr>
    </w:p>
    <w:p w:rsidR="00A3708F" w:rsidRPr="00290D7C" w:rsidRDefault="00290D7C" w:rsidP="00A3708F">
      <w:pPr>
        <w:spacing w:after="0" w:line="240" w:lineRule="auto"/>
        <w:jc w:val="both"/>
        <w:rPr>
          <w:rFonts w:ascii="Arial" w:hAnsi="Arial" w:cs="Arial"/>
          <w:b/>
        </w:rPr>
      </w:pPr>
      <w:r w:rsidRPr="00290D7C">
        <w:rPr>
          <w:rFonts w:ascii="Arial" w:hAnsi="Arial" w:cs="Arial"/>
          <w:b/>
        </w:rPr>
        <w:t xml:space="preserve">Afric Oil with merger three companies involved in the petroleum sector approved </w:t>
      </w:r>
    </w:p>
    <w:p w:rsidR="00A3708F" w:rsidRDefault="00A3708F" w:rsidP="00A3708F">
      <w:pPr>
        <w:spacing w:after="0" w:line="240" w:lineRule="auto"/>
        <w:jc w:val="both"/>
        <w:rPr>
          <w:rFonts w:ascii="Arial" w:hAnsi="Arial" w:cs="Arial"/>
        </w:rPr>
      </w:pPr>
    </w:p>
    <w:p w:rsidR="00A3708F" w:rsidRDefault="00A3708F" w:rsidP="00A3708F">
      <w:pPr>
        <w:spacing w:after="0" w:line="240" w:lineRule="auto"/>
        <w:jc w:val="both"/>
        <w:rPr>
          <w:rFonts w:ascii="Arial" w:hAnsi="Arial" w:cs="Arial"/>
        </w:rPr>
      </w:pPr>
      <w:r>
        <w:rPr>
          <w:rFonts w:ascii="Arial" w:hAnsi="Arial" w:cs="Arial"/>
        </w:rPr>
        <w:t xml:space="preserve">The Tribunal </w:t>
      </w:r>
      <w:r w:rsidR="00290D7C">
        <w:rPr>
          <w:rFonts w:ascii="Arial" w:hAnsi="Arial" w:cs="Arial"/>
        </w:rPr>
        <w:t>has approved a large merger between Afric</w:t>
      </w:r>
      <w:r>
        <w:rPr>
          <w:rFonts w:ascii="Arial" w:hAnsi="Arial" w:cs="Arial"/>
        </w:rPr>
        <w:t xml:space="preserve"> Oil and</w:t>
      </w:r>
      <w:r w:rsidR="00290D7C">
        <w:rPr>
          <w:rFonts w:ascii="Arial" w:hAnsi="Arial" w:cs="Arial"/>
        </w:rPr>
        <w:t xml:space="preserve"> target company</w:t>
      </w:r>
      <w:r>
        <w:rPr>
          <w:rFonts w:ascii="Arial" w:hAnsi="Arial" w:cs="Arial"/>
        </w:rPr>
        <w:t xml:space="preserve"> Big </w:t>
      </w:r>
      <w:r w:rsidR="00290D7C">
        <w:rPr>
          <w:rFonts w:ascii="Arial" w:hAnsi="Arial" w:cs="Arial"/>
        </w:rPr>
        <w:t xml:space="preserve">Red, Turquoise Moon and Redlex. </w:t>
      </w:r>
    </w:p>
    <w:p w:rsidR="00290D7C" w:rsidRDefault="00290D7C" w:rsidP="00A3708F">
      <w:pPr>
        <w:spacing w:after="0" w:line="240" w:lineRule="auto"/>
        <w:jc w:val="both"/>
        <w:rPr>
          <w:rFonts w:ascii="Arial" w:hAnsi="Arial" w:cs="Arial"/>
        </w:rPr>
      </w:pPr>
    </w:p>
    <w:p w:rsidR="00A3708F" w:rsidRDefault="00A3708F" w:rsidP="00A3708F">
      <w:pPr>
        <w:spacing w:after="0" w:line="240" w:lineRule="auto"/>
        <w:jc w:val="both"/>
        <w:rPr>
          <w:rFonts w:ascii="Arial" w:hAnsi="Arial" w:cs="Arial"/>
        </w:rPr>
      </w:pPr>
      <w:r>
        <w:rPr>
          <w:rFonts w:ascii="Arial" w:hAnsi="Arial" w:cs="Arial"/>
        </w:rPr>
        <w:t xml:space="preserve">The merger will see Africa Oil gain control of Big Red’s wholesale distribution service, two properties belonging to Turquoise Moon and vehicles owned by Redlex. </w:t>
      </w:r>
    </w:p>
    <w:p w:rsidR="00A3708F" w:rsidRDefault="00A3708F" w:rsidP="00A3708F">
      <w:pPr>
        <w:spacing w:after="0" w:line="240" w:lineRule="auto"/>
        <w:jc w:val="both"/>
        <w:rPr>
          <w:rFonts w:ascii="Arial" w:hAnsi="Arial" w:cs="Arial"/>
        </w:rPr>
      </w:pPr>
    </w:p>
    <w:p w:rsidR="00A3708F" w:rsidRPr="0060079D" w:rsidRDefault="00A3708F" w:rsidP="00A3708F">
      <w:pPr>
        <w:spacing w:after="0" w:line="240" w:lineRule="auto"/>
        <w:jc w:val="both"/>
        <w:rPr>
          <w:rFonts w:ascii="Arial" w:hAnsi="Arial" w:cs="Arial"/>
        </w:rPr>
      </w:pPr>
      <w:r w:rsidRPr="0060079D">
        <w:rPr>
          <w:rFonts w:ascii="Arial" w:hAnsi="Arial" w:cs="Arial"/>
        </w:rPr>
        <w:t xml:space="preserve">Afric Oil is involved in the marketing and distribution of petrol, diesel, illuminating paraffin, jet fuel and lubricants. </w:t>
      </w:r>
    </w:p>
    <w:p w:rsidR="00A3708F" w:rsidRPr="0060079D" w:rsidRDefault="00A3708F" w:rsidP="00A3708F">
      <w:pPr>
        <w:spacing w:after="0" w:line="240" w:lineRule="auto"/>
        <w:jc w:val="both"/>
        <w:rPr>
          <w:rFonts w:ascii="Arial" w:hAnsi="Arial" w:cs="Arial"/>
        </w:rPr>
      </w:pPr>
    </w:p>
    <w:p w:rsidR="00A3708F" w:rsidRPr="0060079D" w:rsidRDefault="00A3708F" w:rsidP="00A3708F">
      <w:pPr>
        <w:spacing w:after="0" w:line="240" w:lineRule="auto"/>
        <w:jc w:val="both"/>
        <w:rPr>
          <w:rFonts w:ascii="Arial" w:hAnsi="Arial" w:cs="Arial"/>
        </w:rPr>
      </w:pPr>
      <w:r w:rsidRPr="0060079D">
        <w:rPr>
          <w:rFonts w:ascii="Arial" w:hAnsi="Arial" w:cs="Arial"/>
        </w:rPr>
        <w:t>The wholesale distribution business of Big Red involves the bulk distribution of petroleum products such as petrol, diesel and Illumi</w:t>
      </w:r>
      <w:r w:rsidR="00290D7C">
        <w:rPr>
          <w:rFonts w:ascii="Arial" w:hAnsi="Arial" w:cs="Arial"/>
        </w:rPr>
        <w:t>nating paraffin. The i</w:t>
      </w:r>
      <w:r>
        <w:rPr>
          <w:rFonts w:ascii="Arial" w:hAnsi="Arial" w:cs="Arial"/>
        </w:rPr>
        <w:t>mmovable p</w:t>
      </w:r>
      <w:r w:rsidRPr="0060079D">
        <w:rPr>
          <w:rFonts w:ascii="Arial" w:hAnsi="Arial" w:cs="Arial"/>
        </w:rPr>
        <w:t xml:space="preserve">roperties and licences of Turquoise Moon consist of two immovable properties and all statutory licenses and consents required for the storage of fuel on the Turquoise Moon properties. These are currently rented by the Wholesale Business of Big Red to store its fuel. The vehicles owned by Redlex comprise of a fleet of trucks. </w:t>
      </w:r>
    </w:p>
    <w:p w:rsidR="00A3708F" w:rsidRPr="0060079D" w:rsidRDefault="00A3708F" w:rsidP="00A3708F">
      <w:pPr>
        <w:spacing w:after="0" w:line="240" w:lineRule="auto"/>
        <w:jc w:val="both"/>
        <w:rPr>
          <w:rFonts w:ascii="Arial" w:hAnsi="Arial" w:cs="Arial"/>
        </w:rPr>
      </w:pPr>
    </w:p>
    <w:p w:rsidR="00A3708F" w:rsidRDefault="00A3708F" w:rsidP="00A3708F">
      <w:pPr>
        <w:spacing w:after="0" w:line="240" w:lineRule="auto"/>
        <w:jc w:val="both"/>
        <w:rPr>
          <w:rFonts w:ascii="Arial" w:hAnsi="Arial" w:cs="Arial"/>
        </w:rPr>
      </w:pPr>
      <w:r w:rsidRPr="0060079D">
        <w:rPr>
          <w:rFonts w:ascii="Arial" w:hAnsi="Arial" w:cs="Arial"/>
        </w:rPr>
        <w:lastRenderedPageBreak/>
        <w:t>The Commission</w:t>
      </w:r>
      <w:r w:rsidR="00290D7C">
        <w:rPr>
          <w:rFonts w:ascii="Arial" w:hAnsi="Arial" w:cs="Arial"/>
        </w:rPr>
        <w:t xml:space="preserve"> had found that </w:t>
      </w:r>
      <w:r w:rsidRPr="0060079D">
        <w:rPr>
          <w:rFonts w:ascii="Arial" w:hAnsi="Arial" w:cs="Arial"/>
        </w:rPr>
        <w:t>transaction is unlikely to substantially prevent or lessen competition in the wholesale of petroleum products (diesel, petrol and illuminating paraffin) as the merged entity’s market share remains low post-merger. In addition, the proposed transaction does not raise any public interest concerns.</w:t>
      </w:r>
    </w:p>
    <w:p w:rsidR="00A3708F" w:rsidRDefault="00A3708F" w:rsidP="00A3708F">
      <w:pPr>
        <w:spacing w:after="0" w:line="240" w:lineRule="auto"/>
        <w:jc w:val="both"/>
        <w:rPr>
          <w:rFonts w:ascii="Arial" w:hAnsi="Arial" w:cs="Arial"/>
        </w:rPr>
      </w:pPr>
    </w:p>
    <w:p w:rsidR="00A3708F" w:rsidRPr="0060079D" w:rsidRDefault="00A3708F" w:rsidP="00A3708F">
      <w:pPr>
        <w:spacing w:after="0" w:line="240" w:lineRule="auto"/>
        <w:jc w:val="both"/>
        <w:rPr>
          <w:rFonts w:ascii="Arial" w:hAnsi="Arial" w:cs="Arial"/>
        </w:rPr>
      </w:pPr>
    </w:p>
    <w:p w:rsidR="00A3708F" w:rsidRPr="0030708E" w:rsidRDefault="00290D7C" w:rsidP="00A3708F">
      <w:pPr>
        <w:spacing w:after="0" w:line="240" w:lineRule="auto"/>
        <w:rPr>
          <w:rFonts w:ascii="Arial" w:hAnsi="Arial" w:cs="Arial"/>
          <w:b/>
        </w:rPr>
      </w:pPr>
      <w:r>
        <w:rPr>
          <w:rFonts w:ascii="Arial" w:hAnsi="Arial" w:cs="Arial"/>
          <w:b/>
        </w:rPr>
        <w:t>The consolidation of a number of companies under a new entity InServe has been approved</w:t>
      </w:r>
    </w:p>
    <w:p w:rsidR="00A3708F" w:rsidRDefault="00A3708F" w:rsidP="00A3708F">
      <w:pPr>
        <w:spacing w:after="0" w:line="240" w:lineRule="auto"/>
        <w:rPr>
          <w:rFonts w:ascii="Arial" w:hAnsi="Arial" w:cs="Arial"/>
        </w:rPr>
      </w:pPr>
    </w:p>
    <w:p w:rsidR="00A3708F" w:rsidRPr="00FA7B5F" w:rsidRDefault="00FA7B5F" w:rsidP="00FA7B5F">
      <w:pPr>
        <w:spacing w:after="0" w:line="240" w:lineRule="auto"/>
        <w:rPr>
          <w:rFonts w:ascii="Arial" w:hAnsi="Arial" w:cs="Arial"/>
        </w:rPr>
      </w:pPr>
      <w:r>
        <w:rPr>
          <w:rFonts w:ascii="Arial" w:hAnsi="Arial" w:cs="Arial"/>
        </w:rPr>
        <w:t>T</w:t>
      </w:r>
      <w:r w:rsidRPr="00FA7B5F">
        <w:rPr>
          <w:rFonts w:ascii="Arial" w:hAnsi="Arial" w:cs="Arial"/>
        </w:rPr>
        <w:t>he Tribunal has approved the consolidation of target firms Concord Cranes (Pty), Uni-Span Holdings (Pty) Ltd, Concord,</w:t>
      </w:r>
      <w:r w:rsidRPr="00FA7B5F">
        <w:rPr>
          <w:rFonts w:ascii="Arial" w:hAnsi="Arial" w:cs="Arial"/>
          <w:b/>
        </w:rPr>
        <w:t xml:space="preserve"> </w:t>
      </w:r>
      <w:r w:rsidRPr="00FA7B5F">
        <w:rPr>
          <w:rFonts w:ascii="Arial" w:hAnsi="Arial" w:cs="Arial"/>
        </w:rPr>
        <w:t>Uvundla investments (Pty) Ltd and Prowalc</w:t>
      </w:r>
      <w:r>
        <w:rPr>
          <w:rFonts w:ascii="Arial" w:hAnsi="Arial" w:cs="Arial"/>
        </w:rPr>
        <w:t xml:space="preserve">o </w:t>
      </w:r>
      <w:r w:rsidRPr="00FA7B5F">
        <w:rPr>
          <w:rFonts w:ascii="Arial" w:hAnsi="Arial" w:cs="Arial"/>
        </w:rPr>
        <w:t xml:space="preserve">(Pty) Ltd under a newly renamed entity </w:t>
      </w:r>
      <w:r w:rsidR="00A3708F" w:rsidRPr="00FA7B5F">
        <w:rPr>
          <w:rFonts w:ascii="Arial" w:hAnsi="Arial" w:cs="Arial"/>
        </w:rPr>
        <w:t>Industrial Se</w:t>
      </w:r>
      <w:r w:rsidRPr="00FA7B5F">
        <w:rPr>
          <w:rFonts w:ascii="Arial" w:hAnsi="Arial" w:cs="Arial"/>
        </w:rPr>
        <w:t>rvices Holdco (Pty) Ltd (InServe).</w:t>
      </w:r>
    </w:p>
    <w:p w:rsidR="00FA7B5F" w:rsidRPr="00FA7B5F" w:rsidRDefault="00FA7B5F" w:rsidP="00A3708F">
      <w:pPr>
        <w:spacing w:after="0" w:line="240" w:lineRule="auto"/>
        <w:jc w:val="both"/>
        <w:rPr>
          <w:rFonts w:ascii="Arial" w:hAnsi="Arial" w:cs="Arial"/>
        </w:rPr>
      </w:pPr>
    </w:p>
    <w:p w:rsidR="00A3708F" w:rsidRPr="00FA7B5F" w:rsidRDefault="00290D7C" w:rsidP="00FA7B5F">
      <w:pPr>
        <w:rPr>
          <w:rFonts w:ascii="Arial" w:hAnsi="Arial" w:cs="Arial"/>
        </w:rPr>
      </w:pPr>
      <w:r w:rsidRPr="00FA7B5F">
        <w:rPr>
          <w:rFonts w:ascii="Arial" w:hAnsi="Arial" w:cs="Arial"/>
        </w:rPr>
        <w:t>InS</w:t>
      </w:r>
      <w:r w:rsidR="00FA7B5F" w:rsidRPr="00FA7B5F">
        <w:rPr>
          <w:rFonts w:ascii="Arial" w:hAnsi="Arial" w:cs="Arial"/>
        </w:rPr>
        <w:t xml:space="preserve">erve </w:t>
      </w:r>
      <w:r w:rsidR="00A3708F" w:rsidRPr="00FA7B5F">
        <w:rPr>
          <w:rFonts w:ascii="Arial" w:hAnsi="Arial" w:cs="Arial"/>
        </w:rPr>
        <w:t>a newly formed company is part of a group that has a diversified investment portfolio with interest in, among others, agriculture, m</w:t>
      </w:r>
      <w:r w:rsidR="00FA7B5F" w:rsidRPr="00FA7B5F">
        <w:rPr>
          <w:rFonts w:ascii="Arial" w:hAnsi="Arial" w:cs="Arial"/>
        </w:rPr>
        <w:t>ining, and chemical industries</w:t>
      </w:r>
      <w:r w:rsidR="00FA7B5F">
        <w:rPr>
          <w:rFonts w:ascii="Arial" w:hAnsi="Arial" w:cs="Arial"/>
        </w:rPr>
        <w:t xml:space="preserve">, and is </w:t>
      </w:r>
      <w:r w:rsidR="00081820">
        <w:rPr>
          <w:rFonts w:ascii="Arial" w:hAnsi="Arial" w:cs="Arial"/>
        </w:rPr>
        <w:t xml:space="preserve">a </w:t>
      </w:r>
      <w:r w:rsidR="00FA7B5F" w:rsidRPr="00FA7B5F">
        <w:rPr>
          <w:rFonts w:ascii="Arial" w:hAnsi="Arial" w:cs="Arial"/>
        </w:rPr>
        <w:t>wholly-owned subsidiary of IE Portfolio 1 (IEP 1</w:t>
      </w:r>
      <w:r w:rsidR="00FA7B5F">
        <w:rPr>
          <w:rFonts w:ascii="Arial" w:hAnsi="Arial" w:cs="Arial"/>
        </w:rPr>
        <w:t>) that is</w:t>
      </w:r>
      <w:r w:rsidR="00FA7B5F" w:rsidRPr="00FA7B5F">
        <w:rPr>
          <w:rFonts w:ascii="Arial" w:hAnsi="Arial" w:cs="Arial"/>
        </w:rPr>
        <w:t xml:space="preserve"> controlled by Investec Bank.</w:t>
      </w:r>
    </w:p>
    <w:p w:rsidR="00A3708F" w:rsidRPr="00FA7B5F" w:rsidRDefault="00A3708F" w:rsidP="00A3708F">
      <w:pPr>
        <w:spacing w:after="0" w:line="240" w:lineRule="auto"/>
        <w:jc w:val="both"/>
        <w:rPr>
          <w:rFonts w:ascii="Arial" w:hAnsi="Arial" w:cs="Arial"/>
        </w:rPr>
      </w:pPr>
      <w:r w:rsidRPr="00FA7B5F">
        <w:rPr>
          <w:rFonts w:ascii="Arial" w:hAnsi="Arial" w:cs="Arial"/>
        </w:rPr>
        <w:t xml:space="preserve">The Target Firms are active in: the supply of mobile cranes (Concord Cranes), the provision of industrial equipment like the import, sale and lease of forklifts (Uvundlu), the manufacture of fuel dispensing equipment (Prowalco), and the manufacture of steel support systems (Uni-Span). </w:t>
      </w:r>
    </w:p>
    <w:p w:rsidR="00A3708F" w:rsidRPr="00FA7B5F" w:rsidRDefault="00A3708F" w:rsidP="00A3708F">
      <w:pPr>
        <w:spacing w:after="0" w:line="240" w:lineRule="auto"/>
        <w:jc w:val="both"/>
        <w:rPr>
          <w:rFonts w:ascii="Arial" w:hAnsi="Arial" w:cs="Arial"/>
        </w:rPr>
      </w:pPr>
    </w:p>
    <w:p w:rsidR="00A3708F" w:rsidRPr="00FA7B5F" w:rsidRDefault="00A3708F" w:rsidP="00A3708F">
      <w:pPr>
        <w:spacing w:after="0" w:line="240" w:lineRule="auto"/>
        <w:jc w:val="both"/>
        <w:rPr>
          <w:rFonts w:ascii="Arial" w:hAnsi="Arial" w:cs="Arial"/>
        </w:rPr>
      </w:pPr>
      <w:r w:rsidRPr="00FA7B5F">
        <w:rPr>
          <w:rFonts w:ascii="Arial" w:hAnsi="Arial" w:cs="Arial"/>
        </w:rPr>
        <w:t xml:space="preserve">Uni-Span and Business Investment no.1953 hold shares in several of these companies, and Business Investment has controlling shares in Uni-Span. </w:t>
      </w:r>
    </w:p>
    <w:p w:rsidR="00A3708F" w:rsidRPr="0060079D" w:rsidRDefault="00A3708F" w:rsidP="00A3708F">
      <w:pPr>
        <w:spacing w:after="0" w:line="240" w:lineRule="auto"/>
        <w:jc w:val="both"/>
        <w:rPr>
          <w:rFonts w:ascii="Arial" w:hAnsi="Arial" w:cs="Arial"/>
        </w:rPr>
      </w:pPr>
    </w:p>
    <w:p w:rsidR="00A3708F" w:rsidRDefault="00A3708F" w:rsidP="00A3708F">
      <w:pPr>
        <w:spacing w:after="0" w:line="240" w:lineRule="auto"/>
        <w:jc w:val="both"/>
        <w:rPr>
          <w:rFonts w:ascii="Arial" w:eastAsia="Calibri" w:hAnsi="Arial" w:cs="Arial"/>
          <w:b/>
        </w:rPr>
      </w:pPr>
    </w:p>
    <w:p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rsidR="00A3708F" w:rsidRPr="00CF3501" w:rsidRDefault="00A3708F" w:rsidP="00A3708F">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chantelleb@comptrib.co.za</w:t>
        </w:r>
      </w:hyperlink>
      <w:r w:rsidRPr="00CF3501">
        <w:rPr>
          <w:rFonts w:ascii="Arial" w:hAnsi="Arial" w:cs="Arial"/>
        </w:rPr>
        <w:t xml:space="preserve"> </w:t>
      </w:r>
    </w:p>
    <w:p w:rsidR="00A3708F" w:rsidRPr="00CF3501" w:rsidRDefault="00A3708F" w:rsidP="00A3708F">
      <w:pPr>
        <w:spacing w:after="0" w:line="240" w:lineRule="auto"/>
        <w:jc w:val="both"/>
        <w:rPr>
          <w:rFonts w:ascii="Arial" w:hAnsi="Arial" w:cs="Arial"/>
          <w:color w:val="000000"/>
        </w:rPr>
      </w:pPr>
    </w:p>
    <w:p w:rsidR="00A3708F" w:rsidRPr="00CF3501" w:rsidRDefault="00A3708F" w:rsidP="00A3708F">
      <w:pPr>
        <w:spacing w:after="0" w:line="240" w:lineRule="auto"/>
        <w:jc w:val="both"/>
        <w:rPr>
          <w:rFonts w:ascii="Arial" w:hAnsi="Arial" w:cs="Arial"/>
          <w:color w:val="000000"/>
        </w:rPr>
      </w:pPr>
    </w:p>
    <w:p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On Behalf Of:</w:t>
      </w:r>
    </w:p>
    <w:p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Lerato Motaung                                                   </w:t>
      </w:r>
    </w:p>
    <w:p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rsidR="00A3708F" w:rsidRPr="00CF3501" w:rsidRDefault="00A3708F" w:rsidP="00A3708F">
      <w:pPr>
        <w:spacing w:after="0" w:line="240" w:lineRule="auto"/>
        <w:jc w:val="both"/>
        <w:rPr>
          <w:rFonts w:ascii="Arial" w:hAnsi="Arial" w:cs="Arial"/>
        </w:rPr>
      </w:pPr>
      <w:r w:rsidRPr="00CF3501">
        <w:rPr>
          <w:rFonts w:ascii="Arial" w:hAnsi="Arial" w:cs="Arial"/>
          <w:color w:val="000000"/>
          <w:lang w:eastAsia="en-ZA"/>
        </w:rPr>
        <w:t xml:space="preserve">E-Mail: </w:t>
      </w:r>
      <w:hyperlink r:id="rId7" w:history="1">
        <w:r w:rsidRPr="00CF3501">
          <w:rPr>
            <w:rStyle w:val="Hyperlink"/>
            <w:rFonts w:ascii="Arial" w:hAnsi="Arial" w:cs="Arial"/>
            <w:lang w:eastAsia="en-ZA"/>
          </w:rPr>
          <w:t>LeratoM@comptrib.co.za</w:t>
        </w:r>
      </w:hyperlink>
    </w:p>
    <w:p w:rsidR="003E6D12" w:rsidRDefault="00AC6440"/>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36A5"/>
    <w:multiLevelType w:val="hybridMultilevel"/>
    <w:tmpl w:val="2F7C00A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8F"/>
    <w:rsid w:val="00073E8E"/>
    <w:rsid w:val="00081820"/>
    <w:rsid w:val="00290D7C"/>
    <w:rsid w:val="002A5A09"/>
    <w:rsid w:val="004755EC"/>
    <w:rsid w:val="00A3708F"/>
    <w:rsid w:val="00AC6440"/>
    <w:rsid w:val="00DC5D1B"/>
    <w:rsid w:val="00FA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ACC48-7279-48D8-9849-7BFF0F3B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8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8F"/>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08F"/>
    <w:rPr>
      <w:color w:val="0000FF"/>
      <w:u w:val="single"/>
    </w:rPr>
  </w:style>
  <w:style w:type="paragraph" w:styleId="ListParagraph">
    <w:name w:val="List Paragraph"/>
    <w:basedOn w:val="Normal"/>
    <w:uiPriority w:val="34"/>
    <w:qFormat/>
    <w:rsid w:val="00FA7B5F"/>
    <w:pPr>
      <w:spacing w:after="200" w:line="276" w:lineRule="auto"/>
      <w:ind w:left="720"/>
      <w:contextualSpacing/>
    </w:pPr>
  </w:style>
  <w:style w:type="paragraph" w:styleId="BalloonText">
    <w:name w:val="Balloon Text"/>
    <w:basedOn w:val="Normal"/>
    <w:link w:val="BalloonTextChar"/>
    <w:uiPriority w:val="99"/>
    <w:semiHidden/>
    <w:unhideWhenUsed/>
    <w:rsid w:val="00AC6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440"/>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2019-04-24T16:53:00Z</dcterms:created>
  <dcterms:modified xsi:type="dcterms:W3CDTF">2019-04-24T16:53:00Z</dcterms:modified>
</cp:coreProperties>
</file>